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0"/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highlight w:val="none"/>
          <w:lang w:eastAsia="zh-CN"/>
        </w:rPr>
        <w:t>管理制度目录表</w:t>
      </w:r>
    </w:p>
    <w:p>
      <w:pPr>
        <w:pStyle w:val="2"/>
        <w:autoSpaceDE/>
        <w:autoSpaceDN/>
        <w:spacing w:line="400" w:lineRule="exact"/>
        <w:jc w:val="center"/>
        <w:outlineLvl w:val="0"/>
        <w:rPr>
          <w:rFonts w:hint="eastAsia"/>
          <w:color w:val="auto"/>
          <w:highlight w:val="none"/>
          <w:lang w:eastAsia="zh-CN"/>
        </w:rPr>
      </w:pPr>
      <w:r>
        <w:rPr>
          <w:rFonts w:hint="eastAsia" w:ascii="楷体" w:hAnsi="楷体" w:eastAsia="楷体" w:cs="楷体"/>
          <w:color w:val="auto"/>
          <w:kern w:val="0"/>
          <w:sz w:val="28"/>
          <w:szCs w:val="28"/>
          <w:highlight w:val="none"/>
          <w:lang w:eastAsia="zh-CN"/>
        </w:rPr>
        <w:t>（一、二类摩托车维修企业适用）</w:t>
      </w:r>
    </w:p>
    <w:tbl>
      <w:tblPr>
        <w:tblStyle w:val="3"/>
        <w:tblW w:w="495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8757"/>
        <w:gridCol w:w="1544"/>
        <w:gridCol w:w="1108"/>
        <w:gridCol w:w="1442"/>
        <w:gridCol w:w="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  <w:jc w:val="center"/>
        </w:trPr>
        <w:tc>
          <w:tcPr>
            <w:tcW w:w="288" w:type="pc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29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snapToGrid w:val="0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制     度    名    称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备案时是否需提交完整版</w:t>
            </w:r>
          </w:p>
        </w:tc>
        <w:tc>
          <w:tcPr>
            <w:tcW w:w="37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形式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自查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具有或承诺做到</w:t>
            </w:r>
          </w:p>
        </w:tc>
        <w:tc>
          <w:tcPr>
            <w:tcW w:w="326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核查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2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9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应明示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营业执照、年度备案监管信息、机动车维修标志牌、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作业项目、收费标准及服务承诺等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7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上墙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326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  <w:jc w:val="center"/>
        </w:trPr>
        <w:tc>
          <w:tcPr>
            <w:tcW w:w="2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9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应备有国家、行业和地方的摩托车维修技术标准及所承修摩托车的维修技术资料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7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326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exact"/>
          <w:jc w:val="center"/>
        </w:trPr>
        <w:tc>
          <w:tcPr>
            <w:tcW w:w="2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29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维修质量管理制度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包括质量保证、检验等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。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7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326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2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29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设备管理制度。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7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326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2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29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配件管理制度。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7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326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2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29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技术档案管理制度。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7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326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2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29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安全生产管理制度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建立安全生产责任制，制定安全操作规程并明示。安全防护、消防设施等应符合有关规定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7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326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exact"/>
          <w:jc w:val="center"/>
        </w:trPr>
        <w:tc>
          <w:tcPr>
            <w:tcW w:w="2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298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环境保护管理制度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摩托车维修产生的废弃物，其收集、存放和处理应符合国家有关环保规定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78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纸质、现场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326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</w:tbl>
    <w:p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注：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形式为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纸质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的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管理制度应使用A4纸汇编成册，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并同形式为上墙、信息化系统、现场的管理制度需接受事中事后核查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。</w:t>
      </w:r>
      <w:bookmarkStart w:id="0" w:name="_GoBack"/>
      <w:bookmarkEnd w:id="0"/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jOTQ1ZmQ3N2Y4OGRiNTM1OTFiNDMwZDUxNDEwODEifQ=="/>
  </w:docVars>
  <w:rsids>
    <w:rsidRoot w:val="00000000"/>
    <w:rsid w:val="02C570A7"/>
    <w:rsid w:val="12EB4E86"/>
    <w:rsid w:val="17FF9B82"/>
    <w:rsid w:val="41EDB4BB"/>
    <w:rsid w:val="5FFEAB46"/>
    <w:rsid w:val="619F776C"/>
    <w:rsid w:val="6ACD14A1"/>
    <w:rsid w:val="6FEE698D"/>
    <w:rsid w:val="79FB214B"/>
    <w:rsid w:val="7E3B6E47"/>
    <w:rsid w:val="7FD7B5DD"/>
    <w:rsid w:val="9FB4926B"/>
    <w:rsid w:val="9FBDCE37"/>
    <w:rsid w:val="DDFE64DB"/>
    <w:rsid w:val="EFCF82F8"/>
    <w:rsid w:val="F7FBD6ED"/>
    <w:rsid w:val="FBF41E2B"/>
    <w:rsid w:val="FD99E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after="140" w:line="276" w:lineRule="auto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1282</Words>
  <Characters>1309</Characters>
  <Lines>0</Lines>
  <Paragraphs>0</Paragraphs>
  <TotalTime>0</TotalTime>
  <ScaleCrop>false</ScaleCrop>
  <LinksUpToDate>false</LinksUpToDate>
  <CharactersWithSpaces>2460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2024-05-30T15:36:00Z</dcterms:created>
  <dc:creator>huang</dc:creator>
  <cp:lastModifiedBy>uos</cp:lastModifiedBy>
  <dcterms:modified xsi:type="dcterms:W3CDTF">2024-10-11T15:46:41Z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30C745A08C854741959B0878A9132B26_12</vt:lpwstr>
  </property>
</Properties>
</file>