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华文中宋" w:hAnsi="华文中宋" w:eastAsia="华文中宋" w:cs="Calibri"/>
          <w:b/>
          <w:kern w:val="0"/>
          <w:sz w:val="44"/>
          <w:szCs w:val="44"/>
        </w:rPr>
      </w:pPr>
      <w:r>
        <w:rPr>
          <w:rFonts w:hint="eastAsia" w:ascii="华文中宋" w:hAnsi="华文中宋" w:eastAsia="华文中宋" w:cs="Calibri"/>
          <w:b/>
          <w:kern w:val="0"/>
          <w:sz w:val="44"/>
          <w:szCs w:val="44"/>
        </w:rPr>
        <w:t>关于XX项目节能验收自查报告</w:t>
      </w:r>
    </w:p>
    <w:p>
      <w:pPr>
        <w:widowControl/>
        <w:spacing w:line="600" w:lineRule="exact"/>
        <w:jc w:val="center"/>
        <w:rPr>
          <w:rFonts w:hint="eastAsia" w:ascii="宋体" w:hAnsi="宋体" w:cs="Calibri"/>
          <w:kern w:val="0"/>
          <w:sz w:val="30"/>
          <w:szCs w:val="30"/>
        </w:rPr>
      </w:pPr>
      <w:r>
        <w:rPr>
          <w:rFonts w:hint="eastAsia" w:ascii="楷体_GB2312" w:hAnsi="宋体" w:eastAsia="楷体_GB2312" w:cs="Calibri"/>
          <w:b/>
          <w:kern w:val="0"/>
          <w:sz w:val="30"/>
          <w:szCs w:val="30"/>
        </w:rPr>
        <w:t>（参考格式，由建设单位结合项目实际情况撰写）</w:t>
      </w:r>
    </w:p>
    <w:p>
      <w:pPr>
        <w:widowControl/>
        <w:spacing w:line="600" w:lineRule="exact"/>
        <w:ind w:firstLine="643" w:firstLineChars="200"/>
        <w:outlineLvl w:val="0"/>
        <w:rPr>
          <w:rFonts w:hint="eastAsia" w:ascii="宋体" w:hAnsi="宋体" w:cs="Calibri"/>
          <w:b/>
          <w:kern w:val="0"/>
          <w:sz w:val="32"/>
          <w:szCs w:val="32"/>
        </w:rPr>
      </w:pPr>
      <w:r>
        <w:rPr>
          <w:rFonts w:hint="eastAsia" w:ascii="宋体" w:hAnsi="宋体" w:cs="Calibri"/>
          <w:b/>
          <w:kern w:val="0"/>
          <w:sz w:val="32"/>
          <w:szCs w:val="32"/>
        </w:rPr>
        <w:t>一、项目建设单位概况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建设单位：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上海XXXX有限公司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法定代表：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XXX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注册资本：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人民币XXXXXX万元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公司类型：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一人有限责任公司（法人独资）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经营场所：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XX区XX路XX号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经营范围：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从事酒店的开发、建造、销售；酒店经营管理及配套服务；办公楼、商业设施的开发、建造、经营、出租、销售；物业管理；配套服务会议中心；商业中心；停车场（库）管理；房地产业务咨询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项目联系人及联系方式：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XXX  XXXXXXXXXXX</w:t>
      </w:r>
    </w:p>
    <w:p>
      <w:pPr>
        <w:widowControl/>
        <w:spacing w:line="600" w:lineRule="exact"/>
        <w:ind w:firstLine="643" w:firstLineChars="200"/>
        <w:outlineLvl w:val="0"/>
        <w:rPr>
          <w:rFonts w:hint="eastAsia" w:ascii="宋体" w:hAnsi="宋体" w:cs="Calibri"/>
          <w:b/>
          <w:kern w:val="0"/>
          <w:sz w:val="32"/>
          <w:szCs w:val="32"/>
        </w:rPr>
      </w:pPr>
      <w:r>
        <w:rPr>
          <w:rFonts w:hint="eastAsia" w:ascii="宋体" w:hAnsi="宋体" w:cs="Calibri"/>
          <w:b/>
          <w:kern w:val="0"/>
          <w:sz w:val="32"/>
          <w:szCs w:val="32"/>
        </w:rPr>
        <w:t>二、项目概况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项目名称：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XX区XX路XX地块商办综合楼项目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建设地点：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选址于上海市XX区XX路XX号XX地块，地块北至XX路、南至XX小区、东至XX路、西至XX路。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项目性质：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新建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建设规模：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新建3栋办公塔楼及附属商业裙楼，其中，T1办公塔楼高度约188米，共41层楼，建筑面积为80780平方米，T2办公塔楼高度约128米，共27层楼，建筑面积为31685平方米；T1、T2附属商业裙楼高度约54米，共8层楼，建筑面积为85582平方米。T3办公塔楼高度约99米，共20层楼，建筑面积为24778平方米；T3附属商业裙楼高度约为24米，共4层楼，建筑面积为20115平方米。项目总建筑面积为361943平方米，地上建筑面积为249077平方米，地下建筑面积为112866平方米。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建设工期：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项目建设周期约为36个月，拟于XXXX年12月竣工。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用能规模：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项目年用电量为3424.39万千瓦时，年用水量为133.11万立方米，年用天然气量为466.64万立方米，共计年综合能耗10389吨标准煤（电力折算系数按当量值计算）、或16043吨标准煤（电力折算系数按等价值计算）。</w:t>
      </w:r>
    </w:p>
    <w:p>
      <w:pPr>
        <w:widowControl/>
        <w:spacing w:line="600" w:lineRule="exact"/>
        <w:ind w:firstLine="643" w:firstLineChars="200"/>
        <w:outlineLvl w:val="0"/>
        <w:rPr>
          <w:rFonts w:hint="eastAsia" w:ascii="宋体" w:hAnsi="宋体" w:cs="Calibri"/>
          <w:b/>
          <w:kern w:val="0"/>
          <w:sz w:val="32"/>
          <w:szCs w:val="32"/>
        </w:rPr>
      </w:pPr>
      <w:r>
        <w:rPr>
          <w:rFonts w:hint="eastAsia" w:ascii="宋体" w:hAnsi="宋体" w:cs="Calibri"/>
          <w:b/>
          <w:kern w:val="0"/>
          <w:sz w:val="32"/>
          <w:szCs w:val="32"/>
        </w:rPr>
        <w:t>三、节能报告及节能审查意见中节能措施落实自查情况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对照《上海市发展改革委关于XX项目节能报告的审查意见》（沪发改环资〔20XX〕</w:t>
      </w:r>
      <w:bookmarkStart w:id="0" w:name="_GoBack"/>
      <w:bookmarkEnd w:id="0"/>
      <w:r>
        <w:rPr>
          <w:rFonts w:hint="eastAsia" w:ascii="仿宋_GB2312" w:hAnsi="宋体" w:eastAsia="仿宋_GB2312" w:cs="Calibri"/>
          <w:kern w:val="0"/>
          <w:sz w:val="32"/>
          <w:szCs w:val="32"/>
        </w:rPr>
        <w:t>X号）要求，自查情况如下：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（1）建筑围护结构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①依据《上海市公共建筑节能设计标准》(DGJ08-107-2015)进一步深化设计建筑各朝向窗墙比。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自查结论：各单体的各个朝向窗墙比均已按低于0.7细化设计方案。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②进行遮阳与防眩光处理，考虑夏季室外辐射对于室内的影响，综合内遮阳方式进行遮阳设计。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自查结论：已设计百叶内遮阳措施，以降低建筑能耗。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（2）暖通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①空调冷冻水系统供回水温差为7℃，减小输送流量，节省管路和水泵输送能耗。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自查结论：冷水机组供回水温差为8℃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②采用水蓄冷技术，以利用电网的峰谷电价差。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自查结论：未能采用水蓄冷技术。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未落实原因：考虑到总投资等相关因素，取消水蓄冷设计。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③选择IPLV值不低于2级的VRV空调机组。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自查结论：额定制冷量不超过50kW的机组制冷性能系数为4.3，额定制冷量超过50kW的机组制冷性能系数为4.2，均满足上海市《公共建筑节能设计标准》（DGJ08-107-2015）要求。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④选用1.4MW燃气热水锅炉作为热水系统热源，额定出水温度95℃，额定进水温度70℃，额定出口压力1.0MPa，锅炉热效率不小于93%。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自查结论：所选用的燃气热水锅炉额定热效率为93%。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（3）电气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①选择SCB13型及以上的节能变压器，并满足《三相配电变压器能效限定值能效等级》(GB20052-2013)节能评价值</w:t>
      </w:r>
      <w:r>
        <w:rPr>
          <w:rFonts w:hint="eastAsia" w:ascii="仿宋_GB2312" w:eastAsia="仿宋_GB2312"/>
          <w:sz w:val="32"/>
          <w:szCs w:val="32"/>
        </w:rPr>
        <w:t>Ⅱ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级及以上的要求。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自查结论：项目选用SCB13型变压器，负载损耗和空载损耗满足</w:t>
      </w:r>
      <w:r>
        <w:rPr>
          <w:rFonts w:hint="eastAsia" w:ascii="仿宋_GB2312" w:eastAsia="仿宋_GB2312"/>
          <w:sz w:val="32"/>
          <w:szCs w:val="32"/>
        </w:rPr>
        <w:t>Ⅱ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级节能评价值所对应的限值要求。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②在变压器低压侧设置电容器自动补偿装置。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自查结论：补偿后高压侧（10kV）功率因素不低于0.9，低压侧（0.4V）功率因素不低于0.95。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③电梯具有集中调度和群控功能。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单台电梯具有集选控制、闲时停梯操作、灯光和风扇自动控制等节能措施；多台电梯集中排列时，具有按规定程序集中调度和控制的群控功能。自动扶梯应具有节能拖动及节能控制装置，在全线各段均空载时应暂停或低速运行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④水泵、风机等动力设备的具体设计及选型应满足《风机盘管机组》(GB/T19232-2003)、《清水离心泵能效限定值及节能评价值》(GB19762-2005)和《通风机能效限定值及节能评价值》(GB19761-2005)的相关规定。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自查结论：风机选用Ⅰ级能效等级设备、水泵选用Ⅱ级能效等级设备。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⑤地下车库、商店、办公选用高效T5荧光灯，走廊、电梯前室、楼梯间采用节能灯。水泵房及其他潮湿场所采用防潮防尘型荧光灯具。设计中所选用荧光灯具均采用高品质、节能型、高显色荧光灯管，均配用高功率因数品质的电子镇流器或节能型电感镇流器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自查结论：项目走廊、大厅、楼梯间、地下车库等公共区域应采用节能型LED灯具，并采用采取分区控制，照明控制区域根据上海市《公共建筑节能设计标准》（DGJ08-107-2015）设置。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（4）给排水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①合理采用雨水收集措施，利用雨水进行室外绿化浇灌，并根据绿化种类选用合适的节水灌溉措施。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自查结论：裙楼屋面设置雨水回用系统，回收后的雨水用于道路冲洗、绿化浇灌等。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②卫生洁具选用符合国家标准的Ⅱ级以上的节水型产品，小便器、公共卫生间洗脸盆、残疾人设施的冲洗给水配件带自动感应装置。生活供水泵组均采用高效、节能、低噪声的设备。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自查结论：卫生洁具选用节水效率Ⅱ级的节水型产品，满足《节水型生活用水器具》（CJ/T164-2014）及《节水型产品技术条件与管理通则》（GB/T18870）要求。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（5）可再生能源利用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①项目集中热水系统设计太阳能预热+燃气热水锅炉系统。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自查结论：设置2台9m</w:t>
      </w:r>
      <w:r>
        <w:rPr>
          <w:rFonts w:hint="eastAsia" w:ascii="仿宋_GB2312" w:hAnsi="宋体" w:eastAsia="仿宋_GB2312" w:cs="Calibri"/>
          <w:kern w:val="0"/>
          <w:sz w:val="32"/>
          <w:szCs w:val="32"/>
          <w:vertAlign w:val="superscript"/>
        </w:rPr>
        <w:t>3</w:t>
      </w:r>
      <w:r>
        <w:rPr>
          <w:rFonts w:hint="eastAsia" w:ascii="仿宋_GB2312" w:hAnsi="宋体" w:eastAsia="仿宋_GB2312" w:cs="Calibri"/>
          <w:kern w:val="0"/>
          <w:sz w:val="32"/>
          <w:szCs w:val="32"/>
        </w:rPr>
        <w:t>/h的半容积式、水-水交换型带太阳能预热系统的热交换器，出水温度为60℃，太阳能所供热水量比例约为总热水用量的30%。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②与后续阶段研究落实太阳能光伏发电系统的可行性与节能性，所发电力自用，余电上网。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自查结论：未建设太阳能光伏系统。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未落实原因：空调设备、风机等均布置于屋面，屋面可利用面积较小，未建设光伏系统。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（6）能源计量管理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空调冷热源采用能源中心提供的空调冷热水，经过冷热板换后经空调水泵输送至各空调区域。空调冷热水进地块总管上设置能量计量装置。配置大楼的能耗管理系统，有效计量照明、空调等主要设备的能耗，并作出报表分析，达到有效控制能耗的目的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对主要用能设备设置三级计量，建立专门的能源计量台账，加强能源计量管理，确保能源计量的准确性，用能监测系统满足上海市《公共建筑用能监测系统工程技术规范》（DG/TJ08-2068-2012）的相关要求。</w:t>
      </w:r>
    </w:p>
    <w:p>
      <w:pPr>
        <w:widowControl/>
        <w:spacing w:line="600" w:lineRule="exact"/>
        <w:ind w:firstLine="643" w:firstLineChars="200"/>
        <w:rPr>
          <w:rFonts w:hint="eastAsia" w:ascii="仿宋_GB2312" w:hAnsi="宋体" w:eastAsia="仿宋_GB2312" w:cs="Calibri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（7）绿色建筑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项目采用了低损耗变压器、节水卫生器具等节能设备，运用了太阳能热水、雨水回用等节能措施，定位于绿色建筑二星级设计。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自查结论：项目按绿色建筑二星级设计，设计措施满足《绿色建筑评价标准》（GB/T 50378-2014）要求。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outlineLvl w:val="0"/>
        <w:rPr>
          <w:rFonts w:hint="eastAsia" w:ascii="宋体" w:hAnsi="宋体" w:cs="Calibri"/>
          <w:b/>
          <w:kern w:val="0"/>
          <w:sz w:val="32"/>
          <w:szCs w:val="32"/>
        </w:rPr>
      </w:pPr>
      <w:r>
        <w:rPr>
          <w:rFonts w:hint="eastAsia" w:ascii="宋体" w:hAnsi="宋体" w:cs="Calibri"/>
          <w:b/>
          <w:kern w:val="0"/>
          <w:sz w:val="32"/>
          <w:szCs w:val="32"/>
        </w:rPr>
        <w:t>四、自查结论</w:t>
      </w:r>
    </w:p>
    <w:p>
      <w:pPr>
        <w:widowControl/>
        <w:spacing w:line="600" w:lineRule="exact"/>
        <w:ind w:firstLine="640" w:firstLineChars="20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XXXX项目已基本落实节能报告及节能审查意见中节能措施，目前项目已竣工，符合节能验收条件。</w:t>
      </w:r>
    </w:p>
    <w:p>
      <w:pPr>
        <w:widowControl/>
        <w:spacing w:line="600" w:lineRule="exact"/>
        <w:ind w:firstLine="643" w:firstLineChars="200"/>
        <w:outlineLvl w:val="0"/>
        <w:rPr>
          <w:rFonts w:hint="eastAsia" w:ascii="仿宋_GB2312" w:hAnsi="宋体" w:eastAsia="仿宋_GB2312" w:cs="Calibri"/>
          <w:b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outlineLvl w:val="0"/>
        <w:rPr>
          <w:rFonts w:hint="eastAsia" w:ascii="仿宋_GB2312" w:hAnsi="宋体" w:eastAsia="仿宋_GB2312" w:cs="Calibri"/>
          <w:b/>
          <w:kern w:val="0"/>
          <w:sz w:val="32"/>
          <w:szCs w:val="32"/>
        </w:rPr>
      </w:pPr>
    </w:p>
    <w:p>
      <w:pPr>
        <w:widowControl/>
        <w:spacing w:line="600" w:lineRule="exact"/>
        <w:ind w:firstLine="643" w:firstLineChars="200"/>
        <w:outlineLvl w:val="0"/>
        <w:rPr>
          <w:rFonts w:hint="eastAsia" w:ascii="仿宋_GB2312" w:hAnsi="宋体" w:eastAsia="仿宋_GB2312" w:cs="Calibri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b/>
          <w:kern w:val="0"/>
          <w:sz w:val="32"/>
          <w:szCs w:val="32"/>
        </w:rPr>
        <w:t>附件清单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附表：节能审查意见落实情况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附件一：可研报告、环评批复、XXXX项目节能报告及批复；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附件二：竣工图图纸、设计方案、绿色建筑设计标识证书；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附件三：上海市民用建筑能效测评理论标识报告；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附件四：冷水机组设备表、燃气锅炉运行检测报告；</w:t>
      </w:r>
    </w:p>
    <w:p>
      <w:pPr>
        <w:widowControl/>
        <w:spacing w:line="600" w:lineRule="exact"/>
        <w:ind w:firstLine="640" w:firstLineChars="20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附件五：变压器、水泵、风机、卫生洁具设备表或采购合同，灯具采购清单。</w:t>
      </w:r>
    </w:p>
    <w:p>
      <w:pPr>
        <w:widowControl/>
        <w:spacing w:line="600" w:lineRule="exact"/>
        <w:rPr>
          <w:rFonts w:hint="eastAsia" w:ascii="仿宋_GB2312" w:hAnsi="宋体" w:eastAsia="仿宋_GB2312" w:cs="Calibri"/>
          <w:kern w:val="0"/>
          <w:sz w:val="32"/>
          <w:szCs w:val="32"/>
        </w:rPr>
      </w:pPr>
    </w:p>
    <w:p>
      <w:pPr>
        <w:widowControl/>
        <w:spacing w:line="600" w:lineRule="exact"/>
        <w:rPr>
          <w:rFonts w:hint="eastAsia" w:ascii="仿宋_GB2312" w:hAnsi="宋体" w:eastAsia="仿宋_GB2312" w:cs="Calibri"/>
          <w:kern w:val="0"/>
          <w:sz w:val="32"/>
          <w:szCs w:val="32"/>
        </w:rPr>
      </w:pPr>
    </w:p>
    <w:p>
      <w:pPr>
        <w:widowControl/>
        <w:spacing w:line="600" w:lineRule="exact"/>
        <w:rPr>
          <w:rFonts w:hint="eastAsia" w:ascii="仿宋_GB2312" w:hAnsi="宋体" w:eastAsia="仿宋_GB2312" w:cs="Calibri"/>
          <w:kern w:val="0"/>
          <w:sz w:val="32"/>
          <w:szCs w:val="32"/>
        </w:rPr>
      </w:pPr>
    </w:p>
    <w:p>
      <w:pPr>
        <w:widowControl/>
        <w:spacing w:line="600" w:lineRule="exact"/>
        <w:rPr>
          <w:rFonts w:hint="eastAsia" w:ascii="仿宋_GB2312" w:hAnsi="宋体" w:eastAsia="仿宋_GB2312" w:cs="Calibri"/>
          <w:kern w:val="0"/>
          <w:sz w:val="32"/>
          <w:szCs w:val="32"/>
        </w:rPr>
      </w:pPr>
    </w:p>
    <w:p>
      <w:pPr>
        <w:widowControl/>
        <w:spacing w:line="600" w:lineRule="exact"/>
        <w:ind w:right="1240" w:firstLine="640" w:firstLineChars="200"/>
        <w:jc w:val="right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>上海XXXX有限公司</w:t>
      </w:r>
    </w:p>
    <w:p>
      <w:pPr>
        <w:widowControl/>
        <w:spacing w:line="600" w:lineRule="exact"/>
        <w:ind w:right="560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 xml:space="preserve">                                （盖章）</w:t>
      </w:r>
    </w:p>
    <w:p>
      <w:pPr>
        <w:widowControl/>
        <w:spacing w:line="600" w:lineRule="exact"/>
        <w:ind w:right="1280" w:firstLine="640" w:firstLineChars="200"/>
        <w:jc w:val="right"/>
        <w:outlineLvl w:val="0"/>
        <w:rPr>
          <w:rFonts w:hint="eastAsia" w:ascii="仿宋_GB2312" w:hAnsi="宋体" w:eastAsia="仿宋_GB2312" w:cs="Calibri"/>
          <w:kern w:val="0"/>
          <w:sz w:val="32"/>
          <w:szCs w:val="32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t xml:space="preserve">           20XX年X月X日</w:t>
      </w:r>
    </w:p>
    <w:p>
      <w:pPr>
        <w:widowControl/>
        <w:spacing w:line="600" w:lineRule="exact"/>
        <w:ind w:firstLine="640" w:firstLineChars="200"/>
        <w:jc w:val="center"/>
        <w:outlineLvl w:val="0"/>
        <w:rPr>
          <w:rFonts w:hint="eastAsia" w:ascii="仿宋_GB2312" w:hAnsi="宋体" w:eastAsia="仿宋_GB2312" w:cs="Calibri"/>
          <w:kern w:val="0"/>
          <w:sz w:val="28"/>
          <w:szCs w:val="28"/>
        </w:rPr>
      </w:pPr>
      <w:r>
        <w:rPr>
          <w:rFonts w:hint="eastAsia" w:ascii="仿宋_GB2312" w:hAnsi="宋体" w:eastAsia="仿宋_GB2312" w:cs="Calibri"/>
          <w:kern w:val="0"/>
          <w:sz w:val="32"/>
          <w:szCs w:val="32"/>
        </w:rPr>
        <w:br w:type="page"/>
      </w:r>
      <w:r>
        <w:rPr>
          <w:rFonts w:hint="eastAsia" w:ascii="仿宋_GB2312" w:hAnsi="宋体" w:eastAsia="仿宋_GB2312" w:cs="Calibri"/>
          <w:kern w:val="0"/>
          <w:sz w:val="28"/>
          <w:szCs w:val="28"/>
        </w:rPr>
        <w:t>附表：节能审查意见中节能措施落实情况</w:t>
      </w:r>
    </w:p>
    <w:tbl>
      <w:tblPr>
        <w:tblStyle w:val="7"/>
        <w:tblW w:w="9147" w:type="dxa"/>
        <w:jc w:val="center"/>
        <w:tblInd w:w="2569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82"/>
        <w:gridCol w:w="4186"/>
        <w:gridCol w:w="2127"/>
        <w:gridCol w:w="135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 w:val="21"/>
                <w:szCs w:val="21"/>
              </w:rPr>
              <w:t>专业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 w:val="21"/>
                <w:szCs w:val="21"/>
              </w:rPr>
              <w:t>序号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 w:val="21"/>
                <w:szCs w:val="21"/>
              </w:rPr>
              <w:t>节能审查意见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 w:val="21"/>
                <w:szCs w:val="21"/>
              </w:rPr>
              <w:t>落实情况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 w:val="21"/>
                <w:szCs w:val="21"/>
              </w:rPr>
              <w:t>参考文件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绿色建筑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1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项目定位绿色建筑设计二星级，应按满足《绿色建筑评价标准》（GB/T 50378-2014）二星级要求细化有关设计措施。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项目各单体均按绿色建筑二星级设计。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绿色建筑设计标识证书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建筑围护结构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2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按满足上海市《公共建筑节能设计标准》（DGJ08-107-2015）中甲类建筑围护结构传热系数限值要求细化屋面、外墙等围护结构设计方案。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已按上述标准传热系数要求落实设计方案，屋面传热系数小于0.5W/(m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.K)，外墙传热系数小于0.8 W/(m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.K)。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上海市民用建筑能效测评理论标识报告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3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各朝向窗墙比较大，应在东、西朝向外窗增设遮阳措施。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已设置升降式活动百叶。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竣工图设计方案、可研报告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暖通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4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冷水机组按《冷水机组能效限定值及能源效率等级》（GB19577- 2015）中Ⅰ级能效等级要求选型。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冷水机组COP为6.35，满足Ⅰ级能效等级。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冷水机组设备表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5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燃气热水锅炉应按额定热效率不低于93%选型。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燃气热水锅炉额定热效率为93%。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燃气锅炉运行检测报告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电气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6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变压器应采用SCB13及以上型号干式变压器，并按满足《三相配电变压器能耗限定值及节能评价值》（GB20052-2013）中节能评价值要求进行选型。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变压器选用SCB13型。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变压器设备表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7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公共区域应采用更为节能的LED灯具，并采用采取分区控制，照明控制区域根据上海市《公共建筑节能设计标准》（DGJ08-107- 2015）设置。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车库、楼梯间、走道均采用LED。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竣工图设计方案、灯具采购清单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02" w:type="dxa"/>
            <w:vMerge w:val="continue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8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风机、水泵应按满足Ⅱ级及以上能效等级选型。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风机选用Ⅰ级能效等级设备、水泵选用Ⅱ级能效等级设备。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水泵、风机设备表、采购合同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给排水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9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卫生器具按满足《节水型生活用水器具》（CJ/T164-2014）及《节水型产品技术条件与管理通则》（GB/T18870）中节水效率不低于Ⅱ级选型。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卫生洁具选用Ⅱ级节水效率等级设备。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卫生洁具设备表、检测报告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可再生能源利用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10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项目热水系统采用太阳能+辅助燃气热水器，太阳能供热水量比例应达到总热水用量的20%以上。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太阳能供热水量比例达30%。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竣工图设计方案、可研报告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1" w:hRule="atLeast"/>
          <w:jc w:val="center"/>
        </w:trPr>
        <w:tc>
          <w:tcPr>
            <w:tcW w:w="70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能源计量管理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11</w:t>
            </w:r>
          </w:p>
        </w:tc>
        <w:tc>
          <w:tcPr>
            <w:tcW w:w="4186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能源分项计量检测系统接入区有关能耗监测平台，并对主要用能设备设置三级计量，建立专门的能源计量台账，加强能源计量管理，确保能源计量的准确性。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按上海市《公共建筑用能监测系统工程技术规范》（DG/TJ08- 2068-2012）要求落实能源计量管理，能耗情况经BAS接入区级平台。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4"/>
              <w:spacing w:before="62" w:beforeLines="20" w:after="62" w:afterLines="20" w:line="240" w:lineRule="atLeast"/>
              <w:ind w:firstLine="0" w:firstLineChars="0"/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/</w:t>
            </w:r>
          </w:p>
        </w:tc>
      </w:tr>
    </w:tbl>
    <w:p>
      <w:pPr>
        <w:widowControl/>
        <w:spacing w:line="400" w:lineRule="exact"/>
        <w:rPr>
          <w:rFonts w:hint="eastAsia" w:ascii="仿宋_GB2312" w:hAnsi="宋体" w:eastAsia="仿宋_GB2312" w:cs="Calibri"/>
          <w:kern w:val="0"/>
          <w:sz w:val="24"/>
        </w:rPr>
      </w:pPr>
    </w:p>
    <w:p>
      <w:pPr>
        <w:tabs>
          <w:tab w:val="left" w:pos="3402"/>
        </w:tabs>
        <w:adjustRightInd w:val="0"/>
        <w:snapToGrid w:val="0"/>
        <w:spacing w:before="156" w:beforeLines="50" w:after="156" w:afterLines="50" w:line="520" w:lineRule="exact"/>
        <w:jc w:val="center"/>
        <w:rPr>
          <w:rFonts w:ascii="仿宋_GB2312" w:eastAsia="仿宋_GB2312"/>
          <w:sz w:val="30"/>
          <w:szCs w:val="30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9"/>
        <w:rFonts w:ascii="宋体" w:hAnsi="宋体"/>
        <w:sz w:val="21"/>
        <w:szCs w:val="21"/>
      </w:rPr>
    </w:pPr>
    <w:r>
      <w:rPr>
        <w:rStyle w:val="9"/>
        <w:rFonts w:ascii="宋体" w:hAnsi="宋体"/>
        <w:sz w:val="21"/>
        <w:szCs w:val="21"/>
      </w:rPr>
      <w:fldChar w:fldCharType="begin"/>
    </w:r>
    <w:r>
      <w:rPr>
        <w:rStyle w:val="9"/>
        <w:rFonts w:ascii="宋体" w:hAnsi="宋体"/>
        <w:sz w:val="21"/>
        <w:szCs w:val="21"/>
      </w:rPr>
      <w:instrText xml:space="preserve">PAGE  </w:instrText>
    </w:r>
    <w:r>
      <w:rPr>
        <w:rStyle w:val="9"/>
        <w:rFonts w:ascii="宋体" w:hAnsi="宋体"/>
        <w:sz w:val="21"/>
        <w:szCs w:val="21"/>
      </w:rPr>
      <w:fldChar w:fldCharType="separate"/>
    </w:r>
    <w:r>
      <w:rPr>
        <w:rStyle w:val="9"/>
        <w:rFonts w:ascii="宋体" w:hAnsi="宋体"/>
        <w:sz w:val="21"/>
        <w:szCs w:val="21"/>
      </w:rPr>
      <w:t>0</w:t>
    </w:r>
    <w:r>
      <w:rPr>
        <w:rStyle w:val="9"/>
        <w:rFonts w:ascii="宋体" w:hAnsi="宋体"/>
        <w:sz w:val="21"/>
        <w:szCs w:val="21"/>
      </w:rPr>
      <w:fldChar w:fldCharType="end"/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D6797"/>
    <w:rsid w:val="0094738C"/>
    <w:rsid w:val="07107DDB"/>
    <w:rsid w:val="096E3479"/>
    <w:rsid w:val="1CDD6797"/>
    <w:rsid w:val="29E108DA"/>
    <w:rsid w:val="2E9F7F3B"/>
    <w:rsid w:val="2F6B75E5"/>
    <w:rsid w:val="342E02B3"/>
    <w:rsid w:val="349F0A75"/>
    <w:rsid w:val="62217F67"/>
    <w:rsid w:val="6316135D"/>
    <w:rsid w:val="6D9B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100" w:beforeLines="100" w:beforeAutospacing="0" w:after="100" w:afterLines="100" w:afterAutospacing="0" w:line="400" w:lineRule="exact"/>
      <w:outlineLvl w:val="0"/>
    </w:pPr>
    <w:rPr>
      <w:rFonts w:ascii="Times New Roman" w:hAnsi="Times New Roman" w:eastAsia="黑体"/>
      <w:kern w:val="44"/>
      <w:sz w:val="32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Lines="0" w:beforeAutospacing="0" w:after="50" w:afterLines="50" w:afterAutospacing="0" w:line="413" w:lineRule="auto"/>
      <w:outlineLvl w:val="1"/>
    </w:pPr>
    <w:rPr>
      <w:rFonts w:ascii="Arial" w:hAnsi="Arial" w:eastAsia="黑体"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="50" w:afterLines="50" w:afterAutospacing="0" w:line="400" w:lineRule="exact"/>
      <w:outlineLvl w:val="2"/>
    </w:pPr>
    <w:rPr>
      <w:rFonts w:ascii="Times New Roman" w:hAnsi="Times New Roman" w:eastAsia="黑体"/>
      <w:sz w:val="28"/>
    </w:rPr>
  </w:style>
  <w:style w:type="paragraph" w:styleId="5">
    <w:name w:val="heading 4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="50" w:afterLines="50" w:afterAutospacing="0" w:line="400" w:lineRule="exact"/>
      <w:outlineLvl w:val="3"/>
    </w:pPr>
    <w:rPr>
      <w:rFonts w:ascii="Arial" w:hAnsi="Arial" w:eastAsia="黑体" w:cs="Times New Roman"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4 Char"/>
    <w:link w:val="5"/>
    <w:qFormat/>
    <w:uiPriority w:val="0"/>
    <w:rPr>
      <w:rFonts w:ascii="Arial" w:hAnsi="Arial" w:eastAsia="宋体" w:cs="Times New Roman"/>
      <w:b/>
      <w:sz w:val="24"/>
    </w:rPr>
  </w:style>
  <w:style w:type="character" w:customStyle="1" w:styleId="12">
    <w:name w:val="标题 1 Char"/>
    <w:link w:val="2"/>
    <w:qFormat/>
    <w:uiPriority w:val="0"/>
    <w:rPr>
      <w:rFonts w:ascii="Times New Roman" w:hAnsi="Times New Roman" w:eastAsia="黑体"/>
      <w:kern w:val="44"/>
      <w:sz w:val="32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sz w:val="28"/>
    </w:rPr>
  </w:style>
  <w:style w:type="paragraph" w:customStyle="1" w:styleId="14">
    <w:name w:val="Char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2019-10-13T13:34:00Z</dcterms:created>
  <dc:creator>蒋明霞</dc:creator>
  <cp:lastModifiedBy>蒋明霞</cp:lastModifiedBy>
  <dcterms:modified xsi:type="dcterms:W3CDTF">2019-10-15T01:12:25Z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