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djustRightInd w:val="0"/>
        <w:snapToGrid w:val="0"/>
        <w:spacing w:line="360" w:lineRule="auto"/>
        <w:ind w:firstLine="0" w:firstLineChars="0"/>
        <w:rPr>
          <w:rFonts w:hAnsi="宋体"/>
          <w:sz w:val="28"/>
          <w:szCs w:val="28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72"/>
          <w:szCs w:val="72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72"/>
          <w:szCs w:val="72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上海市危险废物</w:t>
      </w:r>
    </w:p>
    <w:p>
      <w:pPr>
        <w:spacing w:line="600" w:lineRule="auto"/>
        <w:jc w:val="center"/>
        <w:rPr>
          <w:rFonts w:hint="eastAsia" w:ascii="华文中宋" w:hAnsi="华文中宋" w:eastAsia="华文中宋"/>
          <w:sz w:val="52"/>
          <w:szCs w:val="52"/>
        </w:rPr>
      </w:pPr>
      <w:r>
        <w:rPr>
          <w:rFonts w:hint="eastAsia" w:ascii="华文中宋" w:hAnsi="华文中宋" w:eastAsia="华文中宋"/>
          <w:sz w:val="52"/>
          <w:szCs w:val="52"/>
        </w:rPr>
        <w:t>跨省市转移实施方案</w:t>
      </w: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ind w:firstLine="717" w:firstLineChars="163"/>
        <w:rPr>
          <w:rFonts w:hint="eastAsia"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495300</wp:posOffset>
                </wp:positionV>
                <wp:extent cx="2400300" cy="0"/>
                <wp:effectExtent l="17145" t="14605" r="11430" b="1397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39pt;height:0pt;width:189pt;z-index:251659264;mso-width-relative:page;mso-height-relative:page;" filled="f" stroked="t" coordsize="21600,21600" o:gfxdata="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WAAAAZHJzL1BLAQIUABQAAAAIAIdO4kCrld291gAAAAkBAAAPAAAA&#10;AAAAAAEAIAAAADgAAABkcnMvZG93bnJldi54bWxQSwECFAAUAAAACACHTuJANliXO8gBAABgAwAA&#10;DgAAAAAAAAABACAAAAA7AQAAZHJzL2Uyb0RvYy54bWxQSwUGAAAAAAYABgBZAQAAdQUAAAAA&#10;">
                <v:fill on="f" focussize="0,0"/>
                <v:stroke weight="1.7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/>
          <w:sz w:val="44"/>
          <w:szCs w:val="44"/>
        </w:rPr>
        <w:t xml:space="preserve">申请单位：     </w:t>
      </w: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>xxx公司</w:t>
      </w:r>
      <w:r>
        <w:rPr>
          <w:rFonts w:hint="eastAsia" w:ascii="华文中宋" w:hAnsi="华文中宋" w:eastAsia="华文中宋"/>
          <w:sz w:val="44"/>
          <w:szCs w:val="44"/>
        </w:rPr>
        <w:t xml:space="preserve">      （公章） </w:t>
      </w:r>
    </w:p>
    <w:p>
      <w:pPr>
        <w:spacing w:line="600" w:lineRule="auto"/>
        <w:ind w:firstLine="717" w:firstLineChars="163"/>
        <w:rPr>
          <w:rFonts w:hint="default" w:ascii="华文中宋" w:hAnsi="华文中宋" w:eastAsia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495300</wp:posOffset>
                </wp:positionV>
                <wp:extent cx="2400300" cy="0"/>
                <wp:effectExtent l="17145" t="18415" r="11430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4pt;margin-top:39pt;height:0pt;width:189pt;z-index:251660288;mso-width-relative:page;mso-height-relative:page;" filled="f" stroked="t" coordsize="21600,21600" o:gfxdata="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WAAAAZHJzL1BLAQIUABQAAAAIAIdO4kCrld291gAAAAkBAAAPAAAA&#10;AAAAAAEAIAAAADgAAABkcnMvZG93bnJldi54bWxQSwECFAAUAAAACACHTuJAq7ZXhcgBAABgAwAA&#10;DgAAAAAAAAABACAAAAA7AQAAZHJzL2Uyb0RvYy54bWxQSwUGAAAAAAYABgBZAQAAdQUAAAAA&#10;">
                <v:fill on="f" focussize="0,0"/>
                <v:stroke weight="1.7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文中宋" w:hAnsi="华文中宋" w:eastAsia="华文中宋"/>
          <w:sz w:val="44"/>
          <w:szCs w:val="44"/>
        </w:rPr>
        <w:t>填报日期：</w:t>
      </w:r>
      <w:r>
        <w:rPr>
          <w:rFonts w:hint="eastAsia" w:ascii="华文中宋" w:hAnsi="华文中宋" w:eastAsia="华文中宋"/>
          <w:sz w:val="44"/>
          <w:szCs w:val="44"/>
          <w:lang w:val="en-US" w:eastAsia="zh-CN"/>
        </w:rPr>
        <w:t xml:space="preserve"> xx年xx月xx日</w:t>
      </w: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18"/>
          <w:szCs w:val="18"/>
        </w:rPr>
      </w:pPr>
    </w:p>
    <w:p>
      <w:pPr>
        <w:spacing w:line="600" w:lineRule="auto"/>
        <w:jc w:val="center"/>
        <w:rPr>
          <w:rFonts w:hint="eastAsia" w:ascii="华文中宋" w:hAnsi="华文中宋" w:eastAsia="华文中宋"/>
          <w:sz w:val="24"/>
        </w:rPr>
      </w:pPr>
      <w:r>
        <w:rPr>
          <w:rFonts w:hint="eastAsia" w:ascii="华文中宋" w:hAnsi="华文中宋" w:eastAsia="华文中宋"/>
          <w:sz w:val="44"/>
          <w:szCs w:val="44"/>
        </w:rPr>
        <w:t>申 请 者 承 诺</w:t>
      </w:r>
    </w:p>
    <w:p>
      <w:pPr>
        <w:spacing w:line="600" w:lineRule="auto"/>
        <w:jc w:val="center"/>
        <w:rPr>
          <w:rFonts w:hint="eastAsia" w:ascii="华文中宋" w:hAnsi="华文中宋" w:eastAsia="华文中宋"/>
          <w:sz w:val="24"/>
        </w:rPr>
      </w:pPr>
    </w:p>
    <w:p>
      <w:pPr>
        <w:spacing w:line="60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44"/>
          <w:szCs w:val="44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我代表申请单位郑重承诺：本实施方案所填资料是完整的和真实的。转移的</w:t>
      </w:r>
      <w:r>
        <w:rPr>
          <w:rFonts w:hint="eastAsia" w:ascii="仿宋_GB2312" w:eastAsia="仿宋_GB2312"/>
          <w:sz w:val="32"/>
          <w:szCs w:val="32"/>
          <w:lang w:eastAsia="zh-CN"/>
        </w:rPr>
        <w:t>危险</w:t>
      </w:r>
      <w:r>
        <w:rPr>
          <w:rFonts w:hint="eastAsia" w:ascii="仿宋_GB2312" w:eastAsia="仿宋_GB2312"/>
          <w:sz w:val="32"/>
          <w:szCs w:val="32"/>
        </w:rPr>
        <w:t>废物名称、类别、代码、数量与实际相符。</w:t>
      </w:r>
      <w:r>
        <w:rPr>
          <w:rFonts w:hint="eastAsia" w:ascii="仿宋_GB2312" w:eastAsia="仿宋_GB2312"/>
          <w:sz w:val="32"/>
          <w:szCs w:val="32"/>
          <w:lang w:eastAsia="zh-CN"/>
        </w:rPr>
        <w:t>危险</w:t>
      </w:r>
      <w:r>
        <w:rPr>
          <w:rFonts w:hint="eastAsia" w:ascii="仿宋_GB2312" w:eastAsia="仿宋_GB2312"/>
          <w:sz w:val="32"/>
          <w:szCs w:val="32"/>
        </w:rPr>
        <w:t>废物转移至外省市利用或处置的，接受单位确具备相应利用或处置能力和污染防治措施。加强废物转移过程跟踪，确保转移的废物均到达接受单位进行安全利用处置，对转移过程中可能产生的环境风险提出合理的控制措施，承担转移全过程监控责任。</w:t>
      </w:r>
    </w:p>
    <w:p>
      <w:pPr>
        <w:spacing w:line="600" w:lineRule="auto"/>
        <w:jc w:val="center"/>
        <w:rPr>
          <w:rFonts w:hint="eastAsia"/>
          <w:b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b/>
          <w:sz w:val="44"/>
          <w:szCs w:val="44"/>
        </w:rPr>
      </w:pPr>
    </w:p>
    <w:p>
      <w:pPr>
        <w:spacing w:line="600" w:lineRule="auto"/>
        <w:jc w:val="center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法人代表签字：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xxx</w:t>
      </w:r>
    </w:p>
    <w:p>
      <w:pPr>
        <w:spacing w:line="600" w:lineRule="auto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日期：xx年xx月xx日</w:t>
      </w:r>
    </w:p>
    <w:p>
      <w:pPr>
        <w:spacing w:line="600" w:lineRule="auto"/>
        <w:jc w:val="center"/>
        <w:rPr>
          <w:rFonts w:hint="eastAsia"/>
          <w:sz w:val="44"/>
          <w:szCs w:val="44"/>
        </w:rPr>
      </w:pPr>
    </w:p>
    <w:p>
      <w:pPr>
        <w:spacing w:line="600" w:lineRule="auto"/>
        <w:jc w:val="center"/>
        <w:rPr>
          <w:rFonts w:hint="eastAsia"/>
          <w:szCs w:val="21"/>
        </w:rPr>
      </w:pPr>
    </w:p>
    <w:p>
      <w:pPr>
        <w:spacing w:line="600" w:lineRule="auto"/>
        <w:jc w:val="center"/>
        <w:rPr>
          <w:rFonts w:hint="eastAsia"/>
          <w:szCs w:val="21"/>
        </w:rPr>
      </w:pPr>
    </w:p>
    <w:p>
      <w:pPr>
        <w:spacing w:line="600" w:lineRule="auto"/>
        <w:jc w:val="center"/>
        <w:rPr>
          <w:rFonts w:hint="eastAsia"/>
          <w:sz w:val="18"/>
          <w:szCs w:val="18"/>
        </w:rPr>
      </w:pPr>
    </w:p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第一部分：拟转移废物基本情况</w:t>
      </w:r>
    </w:p>
    <w:tbl>
      <w:tblPr>
        <w:tblStyle w:val="4"/>
        <w:tblW w:w="9135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9135" w:type="dxa"/>
          </w:tcPr>
          <w:p>
            <w:pPr>
              <w:rPr>
                <w:rFonts w:hint="eastAsia" w:eastAsia="黑体"/>
                <w:sz w:val="24"/>
              </w:rPr>
            </w:pPr>
            <w:r>
              <w:rPr>
                <w:rFonts w:eastAsia="黑体"/>
                <w:sz w:val="24"/>
              </w:rPr>
              <w:t>表1 废物产生</w:t>
            </w:r>
            <w:r>
              <w:rPr>
                <w:rFonts w:hint="eastAsia" w:eastAsia="黑体"/>
                <w:sz w:val="24"/>
              </w:rPr>
              <w:t>企业情况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</w:trPr>
        <w:tc>
          <w:tcPr>
            <w:tcW w:w="9135" w:type="dxa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szCs w:val="21"/>
              </w:rPr>
              <w:t>企业投产时间、主要经营范围及规模</w:t>
            </w:r>
          </w:p>
          <w:p>
            <w:pPr>
              <w:spacing w:line="300" w:lineRule="exact"/>
              <w:ind w:firstLine="420" w:firstLineChars="200"/>
              <w:rPr>
                <w:rFonts w:hint="eastAsia" w:ascii="宋体" w:hAnsi="宋体" w:cs="仿宋"/>
                <w:lang w:val="en-US" w:eastAsia="zh-CN"/>
              </w:rPr>
            </w:pPr>
            <w:r>
              <w:rPr>
                <w:rFonts w:hint="eastAsia" w:ascii="宋体" w:hAnsi="宋体" w:cs="仿宋"/>
                <w:lang w:val="en-US" w:eastAsia="zh-CN"/>
              </w:rPr>
              <w:t>xx</w:t>
            </w:r>
            <w:r>
              <w:rPr>
                <w:rFonts w:ascii="宋体" w:hAnsi="宋体" w:cs="仿宋"/>
              </w:rPr>
              <w:t>公司</w:t>
            </w:r>
            <w:r>
              <w:rPr>
                <w:rFonts w:hint="eastAsia" w:ascii="宋体" w:hAnsi="宋体" w:cs="仿宋"/>
                <w:lang w:eastAsia="zh-CN"/>
              </w:rPr>
              <w:t>于</w:t>
            </w:r>
            <w:r>
              <w:rPr>
                <w:rFonts w:hint="eastAsia" w:ascii="宋体" w:hAnsi="宋体" w:cs="仿宋"/>
                <w:lang w:val="en-US" w:eastAsia="zh-CN"/>
              </w:rPr>
              <w:t>xx年建成投产……</w:t>
            </w:r>
          </w:p>
          <w:p>
            <w:pPr>
              <w:spacing w:line="300" w:lineRule="exact"/>
              <w:ind w:firstLine="420" w:firstLineChars="200"/>
              <w:rPr>
                <w:rFonts w:hint="default" w:ascii="宋体" w:hAnsi="宋体" w:cs="仿宋"/>
                <w:lang w:val="en-US" w:eastAsia="zh-CN"/>
              </w:rPr>
            </w:pPr>
            <w:r>
              <w:rPr>
                <w:rFonts w:hint="eastAsia" w:ascii="宋体" w:hAnsi="宋体" w:cs="仿宋"/>
                <w:lang w:val="en-US" w:eastAsia="zh-CN"/>
              </w:rPr>
              <w:t>主要产品有……，年产量分别为xx吨/年。</w:t>
            </w:r>
          </w:p>
          <w:p>
            <w:pPr>
              <w:spacing w:line="300" w:lineRule="exact"/>
              <w:ind w:firstLine="420" w:firstLineChars="200"/>
              <w:rPr>
                <w:rFonts w:hint="default" w:ascii="宋体" w:hAnsi="宋体" w:cs="仿宋"/>
                <w:lang w:val="en-US" w:eastAsia="zh-CN"/>
              </w:rPr>
            </w:pPr>
            <w:r>
              <w:rPr>
                <w:rFonts w:hint="eastAsia" w:ascii="宋体" w:hAnsi="宋体" w:cs="仿宋"/>
                <w:lang w:val="en-US" w:eastAsia="zh-CN"/>
              </w:rPr>
              <w:t>原油加工能力xx万吨/年，</w:t>
            </w:r>
          </w:p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9135" w:type="dxa"/>
            <w:vAlign w:val="center"/>
          </w:tcPr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rFonts w:eastAsia="黑体"/>
                <w:sz w:val="24"/>
              </w:rPr>
              <w:t>表2 与申请转移废物相关的生产工艺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7" w:hRule="atLeast"/>
        </w:trPr>
        <w:tc>
          <w:tcPr>
            <w:tcW w:w="9135" w:type="dxa"/>
          </w:tcPr>
          <w:p>
            <w:pPr>
              <w:spacing w:line="300" w:lineRule="exact"/>
            </w:pPr>
            <w:r>
              <w:t>文字描述及工艺流程图</w:t>
            </w:r>
          </w:p>
          <w:p>
            <w:pPr>
              <w:spacing w:line="300" w:lineRule="exact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xx装置由xx公司设计，采用xx专利，原料为xx，在xx单元（设备），通过精馏（抽提、裂解……）工艺，使用xx催化剂，产出xx。</w:t>
            </w:r>
          </w:p>
          <w:p>
            <w:pPr>
              <w:spacing w:line="300" w:lineRule="exact"/>
              <w:ind w:firstLine="420" w:firstLineChars="200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附工艺流程图：</w:t>
            </w:r>
          </w:p>
          <w:p>
            <w:pPr>
              <w:spacing w:line="300" w:lineRule="exact"/>
              <w:ind w:firstLine="420" w:firstLineChars="200"/>
              <w:rPr>
                <w:rFonts w:hint="default"/>
                <w:lang w:val="en-US" w:eastAsia="zh-CN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1247775</wp:posOffset>
                  </wp:positionH>
                  <wp:positionV relativeFrom="paragraph">
                    <wp:posOffset>155575</wp:posOffset>
                  </wp:positionV>
                  <wp:extent cx="3421380" cy="2384425"/>
                  <wp:effectExtent l="0" t="0" r="7620" b="15875"/>
                  <wp:wrapSquare wrapText="bothSides"/>
                  <wp:docPr id="3" name="图片 1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1380" cy="238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  <w:p>
            <w:pPr>
              <w:spacing w:line="30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9135" w:type="dxa"/>
          </w:tcPr>
          <w:p>
            <w:pPr>
              <w:spacing w:line="300" w:lineRule="exact"/>
              <w:rPr>
                <w:rFonts w:hint="eastAsia"/>
              </w:rPr>
            </w:pPr>
            <w:r>
              <w:rPr>
                <w:rFonts w:eastAsia="黑体"/>
                <w:sz w:val="24"/>
              </w:rPr>
              <w:t>表</w:t>
            </w:r>
            <w:r>
              <w:rPr>
                <w:rFonts w:hint="eastAsia" w:eastAsia="黑体"/>
                <w:sz w:val="24"/>
              </w:rPr>
              <w:t>3</w:t>
            </w:r>
            <w:r>
              <w:rPr>
                <w:rFonts w:eastAsia="黑体"/>
                <w:sz w:val="24"/>
              </w:rPr>
              <w:t xml:space="preserve"> </w:t>
            </w:r>
            <w:r>
              <w:rPr>
                <w:rFonts w:hint="eastAsia" w:eastAsia="黑体"/>
                <w:sz w:val="24"/>
              </w:rPr>
              <w:t>废物特性详细描述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</w:trPr>
        <w:tc>
          <w:tcPr>
            <w:tcW w:w="9135" w:type="dxa"/>
          </w:tcPr>
          <w:p>
            <w:pPr>
              <w:spacing w:line="300" w:lineRule="exact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物名称：xx（危废代码为xxx），主要成分：xx（占比xx%）和xx（占比xx%），危害特性：腐蚀性、毒性、易燃性、反应性、感染性（根据实际情况填写），形态：固态、半固体、粉末态、颗粒态、液态（根据实际情况确定）。</w:t>
            </w:r>
          </w:p>
        </w:tc>
      </w:tr>
    </w:tbl>
    <w:p>
      <w:pPr>
        <w:rPr>
          <w:rFonts w:hint="eastAsia" w:eastAsia="黑体"/>
          <w:sz w:val="28"/>
          <w:szCs w:val="28"/>
        </w:rPr>
      </w:pPr>
    </w:p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第二部分：废物包装、运输情况</w:t>
      </w:r>
    </w:p>
    <w:tbl>
      <w:tblPr>
        <w:tblStyle w:val="4"/>
        <w:tblW w:w="9020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646"/>
        <w:gridCol w:w="2011"/>
        <w:gridCol w:w="1377"/>
        <w:gridCol w:w="1337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9020" w:type="dxa"/>
            <w:gridSpan w:val="6"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表1   废物包装情况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88" w:type="dxa"/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1606" w:type="dxa"/>
            <w:vAlign w:val="center"/>
          </w:tcPr>
          <w:p>
            <w:pPr>
              <w:jc w:val="center"/>
            </w:pPr>
            <w:r>
              <w:t>废物名称</w:t>
            </w:r>
          </w:p>
        </w:tc>
        <w:tc>
          <w:tcPr>
            <w:tcW w:w="2022" w:type="dxa"/>
            <w:vAlign w:val="center"/>
          </w:tcPr>
          <w:p>
            <w:pPr>
              <w:jc w:val="center"/>
            </w:pPr>
            <w:r>
              <w:t>包装物（容器）名称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</w:pPr>
            <w:r>
              <w:t>材质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</w:pPr>
            <w:r>
              <w:t>容积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t>是否有危废标签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示例</w:t>
            </w:r>
          </w:p>
        </w:tc>
        <w:tc>
          <w:tcPr>
            <w:tcW w:w="16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"/>
                <w:color w:val="000000"/>
                <w:szCs w:val="21"/>
              </w:rPr>
              <w:t>废催</w:t>
            </w:r>
            <w:r>
              <w:rPr>
                <w:rFonts w:hint="eastAsia" w:ascii="宋体" w:hAnsi="宋体" w:cs="仿宋"/>
                <w:color w:val="000000"/>
                <w:sz w:val="20"/>
                <w:szCs w:val="20"/>
              </w:rPr>
              <w:t>化剂（2</w:t>
            </w:r>
            <w:r>
              <w:rPr>
                <w:rFonts w:ascii="宋体" w:hAnsi="宋体" w:cs="仿宋"/>
                <w:color w:val="000000"/>
                <w:sz w:val="20"/>
                <w:szCs w:val="20"/>
              </w:rPr>
              <w:t>51-01</w:t>
            </w:r>
            <w:r>
              <w:rPr>
                <w:rFonts w:ascii="宋体" w:hAnsi="宋体" w:cs="仿宋"/>
                <w:color w:val="000000"/>
                <w:szCs w:val="21"/>
              </w:rPr>
              <w:t>6-50</w:t>
            </w:r>
            <w:r>
              <w:rPr>
                <w:rFonts w:hint="eastAsia" w:ascii="宋体" w:hAnsi="宋体" w:cs="仿宋"/>
                <w:color w:val="000000"/>
                <w:szCs w:val="21"/>
              </w:rPr>
              <w:t>）</w:t>
            </w:r>
          </w:p>
        </w:tc>
        <w:tc>
          <w:tcPr>
            <w:tcW w:w="2022" w:type="dxa"/>
            <w:vAlign w:val="center"/>
          </w:tcPr>
          <w:p>
            <w:pPr>
              <w:shd w:val="clear" w:color="auto" w:fill="FFFFFF"/>
              <w:spacing w:line="320" w:lineRule="exact"/>
              <w:jc w:val="center"/>
              <w:rPr>
                <w:rFonts w:ascii="宋体" w:hAnsi="宋体" w:eastAsia="宋体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"/>
                <w:szCs w:val="21"/>
              </w:rPr>
              <w:t>集装箱</w:t>
            </w:r>
          </w:p>
        </w:tc>
        <w:tc>
          <w:tcPr>
            <w:tcW w:w="1385" w:type="dxa"/>
            <w:vAlign w:val="center"/>
          </w:tcPr>
          <w:p>
            <w:pPr>
              <w:shd w:val="clear" w:color="auto" w:fill="FFFFFF"/>
              <w:spacing w:line="320" w:lineRule="exact"/>
              <w:jc w:val="center"/>
              <w:rPr>
                <w:rFonts w:ascii="宋体" w:hAnsi="宋体" w:eastAsia="宋体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"/>
                <w:szCs w:val="21"/>
              </w:rPr>
              <w:t>不锈钢</w:t>
            </w:r>
          </w:p>
        </w:tc>
        <w:tc>
          <w:tcPr>
            <w:tcW w:w="1344" w:type="dxa"/>
            <w:vAlign w:val="center"/>
          </w:tcPr>
          <w:p>
            <w:pPr>
              <w:shd w:val="clear" w:color="auto" w:fill="FFFFFF"/>
              <w:spacing w:line="320" w:lineRule="exact"/>
              <w:jc w:val="center"/>
              <w:rPr>
                <w:rFonts w:ascii="宋体" w:hAnsi="宋体" w:eastAsia="宋体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 w:cs="仿宋"/>
                <w:szCs w:val="21"/>
              </w:rPr>
              <w:t>立方米</w:t>
            </w:r>
          </w:p>
        </w:tc>
        <w:tc>
          <w:tcPr>
            <w:tcW w:w="1675" w:type="dxa"/>
            <w:vAlign w:val="center"/>
          </w:tcPr>
          <w:p>
            <w:pPr>
              <w:shd w:val="clear" w:color="auto" w:fill="FFFFFF"/>
              <w:spacing w:line="320" w:lineRule="exact"/>
              <w:jc w:val="center"/>
              <w:rPr>
                <w:rFonts w:ascii="宋体" w:hAnsi="宋体" w:eastAsia="宋体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988" w:type="dxa"/>
          </w:tcPr>
          <w:p/>
        </w:tc>
        <w:tc>
          <w:tcPr>
            <w:tcW w:w="1606" w:type="dxa"/>
          </w:tcPr>
          <w:p/>
        </w:tc>
        <w:tc>
          <w:tcPr>
            <w:tcW w:w="2022" w:type="dxa"/>
          </w:tcPr>
          <w:p/>
        </w:tc>
        <w:tc>
          <w:tcPr>
            <w:tcW w:w="1385" w:type="dxa"/>
          </w:tcPr>
          <w:p/>
        </w:tc>
        <w:tc>
          <w:tcPr>
            <w:tcW w:w="1344" w:type="dxa"/>
          </w:tcPr>
          <w:p/>
        </w:tc>
        <w:tc>
          <w:tcPr>
            <w:tcW w:w="167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988" w:type="dxa"/>
          </w:tcPr>
          <w:p/>
        </w:tc>
        <w:tc>
          <w:tcPr>
            <w:tcW w:w="1606" w:type="dxa"/>
          </w:tcPr>
          <w:p/>
        </w:tc>
        <w:tc>
          <w:tcPr>
            <w:tcW w:w="2022" w:type="dxa"/>
          </w:tcPr>
          <w:p/>
        </w:tc>
        <w:tc>
          <w:tcPr>
            <w:tcW w:w="1385" w:type="dxa"/>
          </w:tcPr>
          <w:p/>
        </w:tc>
        <w:tc>
          <w:tcPr>
            <w:tcW w:w="1344" w:type="dxa"/>
          </w:tcPr>
          <w:p/>
        </w:tc>
        <w:tc>
          <w:tcPr>
            <w:tcW w:w="167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988" w:type="dxa"/>
          </w:tcPr>
          <w:p/>
        </w:tc>
        <w:tc>
          <w:tcPr>
            <w:tcW w:w="1606" w:type="dxa"/>
          </w:tcPr>
          <w:p/>
        </w:tc>
        <w:tc>
          <w:tcPr>
            <w:tcW w:w="2022" w:type="dxa"/>
          </w:tcPr>
          <w:p/>
        </w:tc>
        <w:tc>
          <w:tcPr>
            <w:tcW w:w="1385" w:type="dxa"/>
          </w:tcPr>
          <w:p/>
        </w:tc>
        <w:tc>
          <w:tcPr>
            <w:tcW w:w="1344" w:type="dxa"/>
          </w:tcPr>
          <w:p/>
        </w:tc>
        <w:tc>
          <w:tcPr>
            <w:tcW w:w="167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9020" w:type="dxa"/>
            <w:gridSpan w:val="6"/>
            <w:vAlign w:val="center"/>
          </w:tcPr>
          <w:p>
            <w:r>
              <w:rPr>
                <w:b/>
                <w:bCs/>
              </w:rPr>
              <w:t>表2  废物运输情况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4" w:hRule="exact"/>
        </w:trPr>
        <w:tc>
          <w:tcPr>
            <w:tcW w:w="9020" w:type="dxa"/>
            <w:gridSpan w:val="6"/>
          </w:tcPr>
          <w:p>
            <w:r>
              <w:t>运输</w:t>
            </w:r>
            <w:r>
              <w:rPr>
                <w:rFonts w:hint="eastAsia"/>
              </w:rPr>
              <w:t>单位、车辆</w:t>
            </w:r>
            <w:r>
              <w:t>是否符合交管部门运输规定</w:t>
            </w:r>
            <w:r>
              <w:rPr>
                <w:rFonts w:hint="eastAsia"/>
              </w:rPr>
              <w:t>及环保要求</w:t>
            </w:r>
            <w:r>
              <w:t>（文字描述）</w:t>
            </w:r>
          </w:p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废催化剂的运输将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有限公司和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公司共同负责运输，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公司持有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市交通运输局运输管理处颁发的《道路运输经营许可证》编号苏交运管许可宿</w:t>
            </w:r>
            <w:r>
              <w:rPr>
                <w:rFonts w:hint="eastAsia"/>
                <w:lang w:val="en-US" w:eastAsia="zh-CN"/>
              </w:rPr>
              <w:t>xxxxxxxxxx</w:t>
            </w:r>
            <w:r>
              <w:rPr>
                <w:rFonts w:hint="eastAsia"/>
              </w:rPr>
              <w:t>号，证件有效期至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日，经营范围：道路普通货物运输、货物专用运输（集装箱），货物专用运输（罐式），经营性道路危险货物运输（2类1项，2类2项， 2类3项，3类，危险废物）（剧毒化学品除外）。</w:t>
            </w:r>
          </w:p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exact"/>
        </w:trPr>
        <w:tc>
          <w:tcPr>
            <w:tcW w:w="9020" w:type="dxa"/>
            <w:gridSpan w:val="6"/>
          </w:tcPr>
          <w:p>
            <w:pPr>
              <w:rPr>
                <w:rFonts w:hint="eastAsia"/>
              </w:rPr>
            </w:pPr>
            <w:r>
              <w:t>运输路线文字描述：（写明途经省、市、县（区））</w:t>
            </w:r>
          </w:p>
          <w:p>
            <w:pPr>
              <w:ind w:firstLine="420" w:firstLineChars="200"/>
              <w:rPr>
                <w:rFonts w:hint="eastAsia"/>
                <w:lang w:val="en-US" w:eastAsia="zh-CN"/>
              </w:rPr>
            </w:pPr>
            <w:r>
              <w:t>从</w:t>
            </w:r>
            <w:r>
              <w:rPr>
                <w:rFonts w:hint="eastAsia"/>
                <w:lang w:val="en-US" w:eastAsia="zh-CN"/>
              </w:rPr>
              <w:t>xx</w:t>
            </w:r>
            <w:r>
              <w:t>公到</w:t>
            </w:r>
            <w:r>
              <w:rPr>
                <w:rFonts w:hint="eastAsia"/>
                <w:lang w:val="en-US" w:eastAsia="zh-CN"/>
              </w:rPr>
              <w:t>xx</w:t>
            </w:r>
            <w:r>
              <w:t>路</w:t>
            </w:r>
            <w:r>
              <w:rPr>
                <w:rFonts w:hint="eastAsia"/>
              </w:rPr>
              <w:t>（经上海市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区）</w:t>
            </w:r>
            <w:r>
              <w:t>，</w:t>
            </w:r>
            <w:r>
              <w:rPr>
                <w:rFonts w:hint="eastAsia"/>
              </w:rPr>
              <w:t>经</w:t>
            </w:r>
            <w:r>
              <w:rPr>
                <w:rFonts w:hint="eastAsia"/>
                <w:lang w:val="en-US" w:eastAsia="zh-CN"/>
              </w:rPr>
              <w:t>xx</w:t>
            </w:r>
            <w:r>
              <w:t>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xx</w:t>
            </w:r>
            <w:r>
              <w:t>路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xx</w:t>
            </w:r>
            <w:r>
              <w:t>大道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xx</w:t>
            </w:r>
            <w:r>
              <w:t>公路进入</w:t>
            </w:r>
            <w:r>
              <w:rPr>
                <w:rFonts w:hint="eastAsia"/>
                <w:lang w:val="en-US" w:eastAsia="zh-CN"/>
              </w:rPr>
              <w:t>xx</w:t>
            </w:r>
            <w:r>
              <w:t>高速</w:t>
            </w:r>
            <w:r>
              <w:rPr>
                <w:rFonts w:hint="eastAsia"/>
              </w:rPr>
              <w:t>，经</w:t>
            </w:r>
            <w:r>
              <w:rPr>
                <w:rFonts w:hint="eastAsia"/>
                <w:lang w:val="en-US" w:eastAsia="zh-CN"/>
              </w:rPr>
              <w:t>xx</w:t>
            </w:r>
            <w:r>
              <w:t>公路立交</w:t>
            </w:r>
            <w:r>
              <w:rPr>
                <w:rFonts w:hint="eastAsia"/>
              </w:rPr>
              <w:t>转</w:t>
            </w:r>
            <w:r>
              <w:rPr>
                <w:rFonts w:hint="eastAsia"/>
                <w:lang w:val="en-US" w:eastAsia="zh-CN"/>
              </w:rPr>
              <w:t>xx</w:t>
            </w:r>
            <w:r>
              <w:t>高速行驶</w:t>
            </w:r>
            <w:r>
              <w:rPr>
                <w:rFonts w:hint="eastAsia"/>
              </w:rPr>
              <w:t>（途经浙江省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市），经</w:t>
            </w:r>
            <w:r>
              <w:rPr>
                <w:rFonts w:hint="eastAsia"/>
                <w:lang w:val="en-US" w:eastAsia="zh-CN"/>
              </w:rPr>
              <w:t>xx</w:t>
            </w:r>
            <w:r>
              <w:t>枢纽</w:t>
            </w:r>
            <w:r>
              <w:rPr>
                <w:rFonts w:hint="eastAsia"/>
              </w:rPr>
              <w:t>至</w:t>
            </w:r>
            <w:r>
              <w:t>乍</w:t>
            </w:r>
            <w:r>
              <w:rPr>
                <w:rFonts w:hint="eastAsia"/>
                <w:lang w:val="en-US" w:eastAsia="zh-CN"/>
              </w:rPr>
              <w:t>xx</w:t>
            </w:r>
            <w:r>
              <w:t>高速，</w:t>
            </w:r>
            <w:r>
              <w:rPr>
                <w:rFonts w:hint="eastAsia"/>
              </w:rPr>
              <w:t>沿</w:t>
            </w:r>
            <w:r>
              <w:rPr>
                <w:rFonts w:hint="eastAsia"/>
                <w:lang w:val="en-US" w:eastAsia="zh-CN"/>
              </w:rPr>
              <w:t>xx</w:t>
            </w:r>
            <w:r>
              <w:t>高速行驶</w:t>
            </w:r>
            <w:r>
              <w:rPr>
                <w:rFonts w:hint="eastAsia"/>
              </w:rPr>
              <w:t>，经</w:t>
            </w:r>
            <w:r>
              <w:rPr>
                <w:rFonts w:hint="eastAsia"/>
                <w:lang w:val="en-US" w:eastAsia="zh-CN"/>
              </w:rPr>
              <w:t>xx</w:t>
            </w:r>
            <w:r>
              <w:t>枢纽</w:t>
            </w:r>
            <w:r>
              <w:rPr>
                <w:rFonts w:hint="eastAsia"/>
              </w:rPr>
              <w:t>至</w:t>
            </w:r>
            <w:r>
              <w:rPr>
                <w:rFonts w:hint="eastAsia"/>
                <w:lang w:val="en-US" w:eastAsia="zh-CN"/>
              </w:rPr>
              <w:t>xx</w:t>
            </w:r>
            <w:r>
              <w:t>高速</w:t>
            </w:r>
            <w:r>
              <w:rPr>
                <w:rFonts w:hint="eastAsia"/>
              </w:rPr>
              <w:t>（途经江苏省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市），至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市高速路口下高速，经</w:t>
            </w:r>
            <w:r>
              <w:rPr>
                <w:rFonts w:hint="eastAsia"/>
                <w:lang w:val="en-US" w:eastAsia="zh-CN"/>
              </w:rPr>
              <w:t>xx</w:t>
            </w:r>
            <w:r>
              <w:t>大道</w:t>
            </w:r>
            <w:r>
              <w:rPr>
                <w:rFonts w:hint="eastAsia"/>
              </w:rPr>
              <w:t>、</w:t>
            </w:r>
            <w:r>
              <w:t>绿园路</w:t>
            </w:r>
            <w:r>
              <w:rPr>
                <w:rFonts w:hint="eastAsia"/>
              </w:rPr>
              <w:t>、</w:t>
            </w:r>
            <w:r>
              <w:t>绿园路辅路到</w:t>
            </w:r>
            <w:r>
              <w:rPr>
                <w:rFonts w:hint="eastAsia"/>
                <w:lang w:val="en-US" w:eastAsia="zh-CN"/>
              </w:rPr>
              <w:t>xx公司。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lang w:val="en-US" w:eastAsia="zh-CN"/>
              </w:rPr>
              <w:t>附运输路线图：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</w:trPr>
        <w:tc>
          <w:tcPr>
            <w:tcW w:w="9020" w:type="dxa"/>
            <w:gridSpan w:val="6"/>
          </w:tcPr>
          <w:p>
            <w:r>
              <w:rPr>
                <w:b/>
                <w:bCs/>
              </w:rPr>
              <w:t>表3  转移的污染防治、安全防护和应急措施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9" w:hRule="exact"/>
        </w:trPr>
        <w:tc>
          <w:tcPr>
            <w:tcW w:w="9020" w:type="dxa"/>
            <w:gridSpan w:val="6"/>
          </w:tcPr>
          <w:p>
            <w:pPr>
              <w:numPr>
                <w:ilvl w:val="0"/>
                <w:numId w:val="0"/>
              </w:numPr>
              <w:rPr>
                <w:bCs/>
              </w:rPr>
            </w:pPr>
            <w:r>
              <w:rPr>
                <w:bCs/>
              </w:rPr>
              <w:t>运输过程中的污染防治措施</w:t>
            </w:r>
            <w:r>
              <w:rPr>
                <w:rFonts w:hint="eastAsia"/>
                <w:bCs/>
              </w:rPr>
              <w:t>、</w:t>
            </w:r>
            <w:r>
              <w:rPr>
                <w:bCs/>
              </w:rPr>
              <w:t>安全防护措施以及按照要求配备的相应污染防治设备</w:t>
            </w:r>
          </w:p>
          <w:p>
            <w:pPr>
              <w:spacing w:line="360" w:lineRule="auto"/>
              <w:rPr>
                <w:rFonts w:hint="eastAsia" w:ascii="宋体" w:hAnsi="宋体" w:cs="宋体"/>
                <w:b/>
                <w:szCs w:val="24"/>
              </w:rPr>
            </w:pPr>
            <w:r>
              <w:rPr>
                <w:rFonts w:hint="eastAsia" w:ascii="宋体" w:hAnsi="宋体" w:cs="宋体"/>
                <w:b/>
                <w:szCs w:val="24"/>
              </w:rPr>
              <w:t>1、运输前污染防治措施：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</w:rPr>
              <w:t>1）、装货</w:t>
            </w:r>
            <w:r>
              <w:rPr>
                <w:rFonts w:hint="eastAsia"/>
              </w:rPr>
              <w:t>前应认真检查包装物，如发现有泄漏、破损，应拒绝装运。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2）、运输途中严格按危险化学品运输规则要求运输。</w:t>
            </w:r>
          </w:p>
          <w:p>
            <w:pPr>
              <w:rPr>
                <w:rFonts w:hint="eastAsia" w:ascii="宋体" w:hAnsi="宋体" w:cs="宋体"/>
                <w:b/>
              </w:rPr>
            </w:pPr>
            <w:r>
              <w:rPr>
                <w:rFonts w:hint="eastAsia"/>
              </w:rPr>
              <w:t>3）、加强人员</w:t>
            </w:r>
            <w:r>
              <w:rPr>
                <w:rFonts w:hint="eastAsia" w:ascii="宋体" w:hAnsi="宋体" w:cs="宋体"/>
              </w:rPr>
              <w:t>培训，提高运输安全意识，加强对物料特性的了解，预防事故发生。</w:t>
            </w:r>
          </w:p>
          <w:p>
            <w:pPr>
              <w:widowControl/>
              <w:spacing w:line="360" w:lineRule="auto"/>
              <w:ind w:right="31" w:rightChars="15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2、运输过程中</w:t>
            </w:r>
            <w:r>
              <w:rPr>
                <w:b/>
                <w:bCs/>
              </w:rPr>
              <w:t>污染防治、</w:t>
            </w:r>
            <w:r>
              <w:rPr>
                <w:rFonts w:hint="eastAsia" w:ascii="宋体" w:hAnsi="宋体" w:cs="宋体"/>
                <w:b/>
                <w:lang w:eastAsia="zh-CN"/>
              </w:rPr>
              <w:t>安全</w:t>
            </w:r>
            <w:r>
              <w:rPr>
                <w:rFonts w:hint="eastAsia" w:ascii="宋体" w:hAnsi="宋体" w:cs="宋体"/>
                <w:b/>
              </w:rPr>
              <w:t>防治措施</w:t>
            </w:r>
            <w:r>
              <w:rPr>
                <w:rFonts w:hint="eastAsia" w:ascii="宋体" w:hAnsi="宋体" w:cs="宋体"/>
                <w:b/>
                <w:lang w:eastAsia="zh-CN"/>
              </w:rPr>
              <w:t>和应急措施</w:t>
            </w:r>
            <w:r>
              <w:rPr>
                <w:rFonts w:hint="eastAsia" w:ascii="宋体" w:hAnsi="宋体" w:cs="宋体"/>
                <w:b/>
              </w:rPr>
              <w:t>：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1）、若果发</w:t>
            </w:r>
            <w:r>
              <w:rPr>
                <w:rFonts w:hint="eastAsia"/>
              </w:rPr>
              <w:t>生泄露迅速切断泄漏源，设定初始隔离区，封闭事件现场；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2）、条件允许时，组织力量对泄漏物料进行收集；</w:t>
            </w: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3）、废催化剂卸载作业时做到工完、料尽、场地清，严禁进入下水系统和地面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</w:rPr>
              <w:t>）、储存场地的地面应防渗漏，配备相应工具，如遇洒落立即清扫到包装桶内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bCs/>
              </w:rPr>
            </w:pP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 xml:space="preserve">）、装载废催化剂的包装物，按照危险废物处理，防止二次污染。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0" w:hRule="exact"/>
        </w:trPr>
        <w:tc>
          <w:tcPr>
            <w:tcW w:w="9020" w:type="dxa"/>
            <w:gridSpan w:val="6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bCs/>
              </w:rPr>
              <w:t>、运输过程中的应急预案以及按照要求配备的相应应急设备</w:t>
            </w:r>
          </w:p>
          <w:p>
            <w:pPr>
              <w:widowControl/>
              <w:spacing w:line="360" w:lineRule="auto"/>
              <w:ind w:right="31" w:rightChars="15"/>
              <w:rPr>
                <w:b/>
              </w:rPr>
            </w:pPr>
            <w:bookmarkStart w:id="0" w:name="_Toc310326041"/>
            <w:r>
              <w:rPr>
                <w:rFonts w:hint="eastAsia"/>
                <w:b/>
              </w:rPr>
              <w:t>1、事件类型和危害分析</w:t>
            </w:r>
            <w:bookmarkEnd w:id="0"/>
          </w:p>
          <w:p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废催化剂</w:t>
            </w:r>
            <w:r>
              <w:rPr>
                <w:rFonts w:hint="eastAsia"/>
                <w:bCs/>
                <w:szCs w:val="21"/>
              </w:rPr>
              <w:t>的特性为毒性，主要来自石油炼制过程。发生泄漏，可能通过皮肤、呼吸道与人体产生接触，长久接触可能会对人体皮肤等造成伤害。</w:t>
            </w:r>
          </w:p>
          <w:p>
            <w:pPr>
              <w:widowControl/>
              <w:spacing w:line="360" w:lineRule="auto"/>
              <w:ind w:right="31" w:rightChars="15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</w:rPr>
              <w:t>2、应急</w:t>
            </w:r>
            <w:r>
              <w:rPr>
                <w:rFonts w:hint="eastAsia"/>
                <w:b/>
                <w:lang w:eastAsia="zh-CN"/>
              </w:rPr>
              <w:t>预案主要内容</w:t>
            </w:r>
          </w:p>
          <w:p>
            <w:pPr>
              <w:spacing w:line="360" w:lineRule="auto"/>
              <w:rPr>
                <w:rFonts w:hint="eastAsia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事件报告程序：</w:t>
            </w:r>
          </w:p>
          <w:p>
            <w:pPr>
              <w:spacing w:line="360" w:lineRule="auto"/>
              <w:rPr>
                <w:rFonts w:hint="eastAsia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应急响应：</w:t>
            </w:r>
          </w:p>
          <w:p>
            <w:pPr>
              <w:spacing w:line="360" w:lineRule="auto"/>
              <w:rPr>
                <w:rFonts w:hint="eastAsia"/>
                <w:bCs/>
                <w:szCs w:val="21"/>
                <w:lang w:eastAsia="zh-CN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应急队伍：</w:t>
            </w:r>
          </w:p>
          <w:p>
            <w:pPr>
              <w:rPr>
                <w:rFonts w:hint="eastAsia"/>
                <w:bCs/>
                <w:szCs w:val="24"/>
                <w:lang w:eastAsia="zh-CN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污染防治设备：</w:t>
            </w:r>
            <w:r>
              <w:rPr>
                <w:rFonts w:hint="eastAsia" w:ascii="宋体" w:hAnsi="宋体" w:cs="宋体"/>
                <w:bCs/>
                <w:szCs w:val="21"/>
              </w:rPr>
              <w:t>医药箱、护目镜、防护面罩、工作服、安全帽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（根据实际情况填写）</w:t>
            </w:r>
          </w:p>
          <w:p>
            <w:pPr>
              <w:rPr>
                <w:rFonts w:hint="eastAsia"/>
                <w:bCs/>
              </w:rPr>
            </w:pPr>
          </w:p>
        </w:tc>
      </w:tr>
    </w:tbl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第三部分   废物处理处置情况</w:t>
      </w:r>
    </w:p>
    <w:tbl>
      <w:tblPr>
        <w:tblStyle w:val="4"/>
        <w:tblW w:w="9345" w:type="dxa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5"/>
        <w:gridCol w:w="4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9345" w:type="dxa"/>
            <w:gridSpan w:val="2"/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表1   接受单位基本情况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9345" w:type="dxa"/>
            <w:gridSpan w:val="2"/>
            <w:vAlign w:val="center"/>
          </w:tcPr>
          <w:p>
            <w:r>
              <w:t>单位名称：</w:t>
            </w:r>
            <w:r>
              <w:rPr>
                <w:rFonts w:hint="eastAsia"/>
                <w:lang w:val="en-US" w:eastAsia="zh-CN"/>
              </w:rPr>
              <w:t xml:space="preserve"> xx</w:t>
            </w:r>
            <w:r>
              <w:rPr>
                <w:rFonts w:hint="eastAsia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5145" w:type="dxa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危废经营许可证编号：</w:t>
            </w:r>
            <w:r>
              <w:rPr>
                <w:rFonts w:hint="eastAsia"/>
              </w:rPr>
              <w:t>JSW</w:t>
            </w:r>
            <w:r>
              <w:rPr>
                <w:rFonts w:hint="eastAsia"/>
                <w:lang w:val="en-US" w:eastAsia="zh-CN"/>
              </w:rPr>
              <w:t>xxxxxxxxx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xxx</w:t>
            </w:r>
          </w:p>
        </w:tc>
        <w:tc>
          <w:tcPr>
            <w:tcW w:w="4200" w:type="dxa"/>
            <w:vAlign w:val="center"/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有效期：</w:t>
            </w: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01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01</w:t>
            </w:r>
            <w:r>
              <w:rPr>
                <w:rFonts w:hint="eastAsia"/>
              </w:rPr>
              <w:t>—2027.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345" w:type="dxa"/>
            <w:gridSpan w:val="2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接受废物的处理处置方式：再生利用</w:t>
            </w:r>
            <w:r>
              <w:rPr>
                <w:rFonts w:hint="eastAsia"/>
                <w:lang w:eastAsia="zh-CN"/>
              </w:rPr>
              <w:t>……（处理处置方式代码</w:t>
            </w:r>
            <w:r>
              <w:rPr>
                <w:rFonts w:hint="eastAsia"/>
                <w:lang w:val="en-US" w:eastAsia="zh-CN"/>
              </w:rPr>
              <w:t>xxx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345" w:type="dxa"/>
            <w:gridSpan w:val="2"/>
            <w:vAlign w:val="center"/>
          </w:tcPr>
          <w:p>
            <w:r>
              <w:rPr>
                <w:b/>
                <w:bCs/>
              </w:rPr>
              <w:t>表2   与接收废物相关的处理处置情况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4" w:hRule="atLeast"/>
        </w:trPr>
        <w:tc>
          <w:tcPr>
            <w:tcW w:w="9345" w:type="dxa"/>
            <w:gridSpan w:val="2"/>
          </w:tcPr>
          <w:p>
            <w:pPr>
              <w:spacing w:line="300" w:lineRule="exact"/>
              <w:rPr>
                <w:rFonts w:hint="eastAsia"/>
              </w:rPr>
            </w:pPr>
            <w:r>
              <w:t>文字描述及工艺流程图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催化剂再生工艺过程说明如下：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（1）将废催化剂通过振动筛（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目筛）进行过筛，分离出符合要求的待生催化剂和碳粉、瓷球S1，粉尘通过喷淋除尘后会产生粉尘渣S4。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（2）将待生催化剂送入天然气窑炉进行加热，加热温度控制在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℃左右（根据催化剂的品种、特性确定具体的反应温度），平均加热时间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小时，使失效催化剂碳含量降低到一定程度后得到再生催化剂初成品。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（3）将再生催化剂初成品通过振动筛（</w:t>
            </w:r>
            <w:r>
              <w:rPr>
                <w:rFonts w:hint="eastAsia"/>
                <w:lang w:val="en-US" w:eastAsia="zh-CN"/>
              </w:rPr>
              <w:t>xx</w:t>
            </w:r>
            <w:r>
              <w:rPr>
                <w:rFonts w:hint="eastAsia"/>
              </w:rPr>
              <w:t>目筛）进行过筛，筛除多余的碳粉和瓷球后得到合格的再生催化剂。成品经产品检验后进行包装计量，封桶后放入仓库。</w:t>
            </w:r>
          </w:p>
          <w:p>
            <w:pPr>
              <w:spacing w:line="360" w:lineRule="exact"/>
              <w:ind w:firstLine="630" w:firstLineChars="300"/>
              <w:rPr>
                <w:b/>
                <w:bCs/>
              </w:rPr>
            </w:pPr>
            <w:r>
              <w:rPr>
                <w:rFonts w:hint="eastAsia"/>
                <w:b/>
                <w:bCs/>
                <w:lang w:eastAsia="zh-CN"/>
              </w:rPr>
              <w:t>附</w:t>
            </w:r>
            <w:r>
              <w:rPr>
                <w:rFonts w:hint="eastAsia"/>
                <w:b/>
                <w:bCs/>
              </w:rPr>
              <w:t>工艺流程图</w:t>
            </w:r>
            <w:bookmarkStart w:id="1" w:name="_GoBack"/>
            <w:bookmarkEnd w:id="1"/>
            <w:r>
              <w:rPr>
                <w:rFonts w:hint="eastAsia"/>
                <w:b/>
                <w:bCs/>
              </w:rPr>
              <w:t>：</w:t>
            </w: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spacing w:line="300" w:lineRule="exact"/>
              <w:rPr>
                <w:rFonts w:hint="eastAsia"/>
              </w:rPr>
            </w:pPr>
          </w:p>
          <w:p>
            <w:pPr>
              <w:rPr>
                <w:b/>
                <w:bCs/>
              </w:rPr>
            </w:pPr>
          </w:p>
        </w:tc>
      </w:tr>
    </w:tbl>
    <w:p>
      <w:pPr>
        <w:rPr>
          <w:rFonts w:eastAsia="黑体"/>
          <w:sz w:val="28"/>
          <w:szCs w:val="28"/>
        </w:rPr>
        <w:sectPr>
          <w:pgSz w:w="11906" w:h="16838"/>
          <w:pgMar w:top="1440" w:right="1797" w:bottom="1440" w:left="1797" w:header="1418" w:footer="1134" w:gutter="0"/>
          <w:pgNumType w:start="6"/>
          <w:cols w:space="720" w:num="1"/>
          <w:formProt w:val="0"/>
          <w:docGrid w:type="linesAndChars" w:linePitch="312" w:charSpace="0"/>
        </w:sectPr>
      </w:pPr>
      <w:r>
        <w:rPr>
          <w:rFonts w:eastAsia="黑体"/>
          <w:sz w:val="28"/>
          <w:szCs w:val="28"/>
        </w:rPr>
        <w:br w:type="page"/>
      </w:r>
    </w:p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</w:t>
      </w:r>
      <w:r>
        <w:rPr>
          <w:rFonts w:hint="eastAsia" w:eastAsia="黑体"/>
          <w:sz w:val="28"/>
          <w:szCs w:val="28"/>
        </w:rPr>
        <w:t>四</w:t>
      </w:r>
      <w:r>
        <w:rPr>
          <w:rFonts w:eastAsia="黑体"/>
          <w:sz w:val="28"/>
          <w:szCs w:val="28"/>
        </w:rPr>
        <w:t xml:space="preserve">部分   </w:t>
      </w:r>
      <w:r>
        <w:rPr>
          <w:rFonts w:hint="eastAsia" w:eastAsia="黑体"/>
          <w:sz w:val="28"/>
          <w:szCs w:val="28"/>
        </w:rPr>
        <w:t>申请转移废物上年度处置情况及跨省转移原因</w:t>
      </w:r>
    </w:p>
    <w:tbl>
      <w:tblPr>
        <w:tblStyle w:val="4"/>
        <w:tblpPr w:leftFromText="180" w:rightFromText="180" w:vertAnchor="text" w:horzAnchor="page" w:tblpX="1144" w:tblpY="208"/>
        <w:tblOverlap w:val="never"/>
        <w:tblW w:w="147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275"/>
        <w:gridCol w:w="1815"/>
        <w:gridCol w:w="1460"/>
        <w:gridCol w:w="1460"/>
        <w:gridCol w:w="1460"/>
        <w:gridCol w:w="1460"/>
        <w:gridCol w:w="1460"/>
        <w:gridCol w:w="1460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center"/>
          </w:tcPr>
          <w:p>
            <w:pPr>
              <w:jc w:val="center"/>
            </w:pPr>
            <w:r>
              <w:t>出厂日期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</w:pPr>
            <w:r>
              <w:t>转移批次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jc w:val="center"/>
            </w:pPr>
            <w:r>
              <w:t>联单编号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  <w:r>
              <w:t>废物名称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  <w:r>
              <w:t>类别/代码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  <w:r>
              <w:t>转移量（吨）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  <w:r>
              <w:t>运输单位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  <w:r>
              <w:t>车号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  <w:r>
              <w:t>接收单位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</w:pPr>
            <w:r>
              <w:t>接收日期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无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815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815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top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89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275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815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60" w:type="dxa"/>
            <w:noWrap w:val="0"/>
            <w:vAlign w:val="top"/>
          </w:tcPr>
          <w:p>
            <w:pPr>
              <w:jc w:val="left"/>
            </w:pPr>
          </w:p>
        </w:tc>
        <w:tc>
          <w:tcPr>
            <w:tcW w:w="1475" w:type="dxa"/>
            <w:noWrap w:val="0"/>
            <w:vAlign w:val="top"/>
          </w:tcPr>
          <w:p>
            <w:pPr>
              <w:jc w:val="left"/>
            </w:pPr>
          </w:p>
        </w:tc>
      </w:tr>
    </w:tbl>
    <w:p>
      <w:pPr>
        <w:pStyle w:val="9"/>
        <w:adjustRightInd w:val="0"/>
        <w:snapToGrid w:val="0"/>
        <w:spacing w:line="360" w:lineRule="auto"/>
        <w:ind w:firstLine="0" w:firstLineChars="0"/>
        <w:rPr>
          <w:rFonts w:hAnsi="宋体"/>
          <w:sz w:val="28"/>
          <w:szCs w:val="28"/>
        </w:rPr>
        <w:sectPr>
          <w:pgSz w:w="16838" w:h="11906" w:orient="landscape"/>
          <w:pgMar w:top="1797" w:right="1440" w:bottom="1797" w:left="1440" w:header="1418" w:footer="1134" w:gutter="0"/>
          <w:pgNumType w:start="6"/>
          <w:cols w:space="720" w:num="1"/>
          <w:formProt w:val="0"/>
          <w:docGrid w:type="linesAndChars" w:linePitch="312" w:charSpace="0"/>
        </w:sectPr>
      </w:pPr>
    </w:p>
    <w:p>
      <w:pPr>
        <w:tabs>
          <w:tab w:val="left" w:pos="2208"/>
        </w:tabs>
        <w:bidi w:val="0"/>
        <w:jc w:val="left"/>
        <w:rPr>
          <w:lang w:val="en-US" w:eastAsia="zh-CN"/>
        </w:rPr>
      </w:pPr>
    </w:p>
    <w:sectPr>
      <w:pgSz w:w="11906" w:h="16838"/>
      <w:pgMar w:top="1803" w:right="1440" w:bottom="180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0DD"/>
    <w:rsid w:val="004D30DD"/>
    <w:rsid w:val="005205C5"/>
    <w:rsid w:val="007868DF"/>
    <w:rsid w:val="00BD00DE"/>
    <w:rsid w:val="7EFF84FD"/>
    <w:rsid w:val="A7EF4A6D"/>
    <w:rsid w:val="BFD5E0A0"/>
    <w:rsid w:val="D797BCE7"/>
    <w:rsid w:val="DF7F868C"/>
    <w:rsid w:val="F9F5E08C"/>
    <w:rsid w:val="FFFB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段 Char"/>
    <w:link w:val="9"/>
    <w:qFormat/>
    <w:uiPriority w:val="0"/>
    <w:rPr>
      <w:rFonts w:ascii="宋体"/>
    </w:rPr>
  </w:style>
  <w:style w:type="paragraph" w:customStyle="1" w:styleId="9">
    <w:name w:val="段"/>
    <w:link w:val="8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121</Words>
  <Characters>692</Characters>
  <Lines>5</Lines>
  <Paragraphs>1</Paragraphs>
  <TotalTime>12</TotalTime>
  <ScaleCrop>false</ScaleCrop>
  <LinksUpToDate>false</LinksUpToDate>
  <CharactersWithSpaces>812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2019-02-16T18:17:00Z</dcterms:created>
  <dc:creator>沈静</dc:creator>
  <cp:lastModifiedBy>lenovo</cp:lastModifiedBy>
  <dcterms:modified xsi:type="dcterms:W3CDTF">2025-07-22T10:46:38Z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05017744C63CF34C9956DE6601F593E9</vt:lpwstr>
  </property>
</Properties>
</file>