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32"/>
          <w:szCs w:val="32"/>
          <w:rFonts w:ascii="黑体" w:eastAsia="黑体" w:hAnsi="黑体" w:hint="default"/>
        </w:rPr>
        <w:autoSpaceDE w:val="1"/>
        <w:autoSpaceDN w:val="1"/>
      </w:pPr>
      <w:r>
        <w:rPr>
          <w:color w:val="auto"/>
          <w:position w:val="0"/>
          <w:sz w:val="32"/>
          <w:szCs w:val="32"/>
          <w:rFonts w:ascii="黑体" w:eastAsia="黑体" w:hAnsi="黑体" w:hint="default"/>
        </w:rPr>
        <w:t>麻醉药品、第一类精神药品使用情况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700"/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autoSpaceDE w:val="1"/>
        <w:autoSpaceDN w:val="1"/>
      </w:pP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 xml:space="preserve">某某医院2015年- 2017年使用的麻醉药品和第一类精神药品</w:t>
      </w: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>共50个品规，具体使用情况如下：</w:t>
      </w:r>
    </w:p>
    <w:tbl>
      <w:tblID w:val="0"/>
      <w:tblPr>
        <w:tblStyle w:val="PO38"/>
        <w:tblCellMar>
          <w:left w:w="108" w:type="dxa"/>
          <w:top w:w="0" w:type="dxa"/>
          <w:right w:w="108" w:type="dxa"/>
          <w:bottom w:w="0" w:type="dxa"/>
        </w:tblCellMar>
        <w:tblW w:w="0" w:type="auto"/>
        <w:tblLook w:val="0004A0" w:firstRow="1" w:lastRow="0" w:firstColumn="1" w:lastColumn="0" w:noHBand="0" w:noVBand="1"/>
        <w:tblLayout w:type="auto"/>
      </w:tblPr>
      <w:tblGrid>
        <w:gridCol w:w="811"/>
        <w:gridCol w:w="1707"/>
        <w:gridCol w:w="1559"/>
        <w:gridCol w:w="1418"/>
        <w:gridCol w:w="1559"/>
        <w:gridCol w:w="1468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hidden w:val="0"/>
        </w:trPr>
        <w:tc>
          <w:tcPr>
            <w:tcW w:type="dxa" w:w="811"/>
            <w:cnfStyle w:val="101000001000" w:firstRow="1" w:lastRow="0" w:firstColumn="1" w:lastColumn="0" w:oddVBand="0" w:evenVBand="0" w:oddHBand="0" w:evenHBand="0" w:firstRowFirstColumn="1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>序号</w:t>
            </w:r>
          </w:p>
        </w:tc>
        <w:tc>
          <w:tcPr>
            <w:tcW w:type="dxa" w:w="1707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>药品名称</w:t>
            </w:r>
          </w:p>
        </w:tc>
        <w:tc>
          <w:tcPr>
            <w:tcW w:type="dxa" w:w="1559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>规格</w:t>
            </w:r>
          </w:p>
        </w:tc>
        <w:tc>
          <w:tcPr>
            <w:tcW w:type="dxa" w:w="1418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 xml:space="preserve">    年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>使用数量</w:t>
            </w:r>
          </w:p>
        </w:tc>
        <w:tc>
          <w:tcPr>
            <w:tcW w:type="dxa" w:w="1559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 xml:space="preserve">    年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>使用数量</w:t>
            </w:r>
          </w:p>
        </w:tc>
        <w:tc>
          <w:tcPr>
            <w:tcW w:type="dxa" w:w="1468"/>
            <w:cnfStyle w:val="100000000100" w:firstRow="1" w:lastRow="0" w:firstColumn="0" w:lastColumn="0" w:oddVBand="0" w:evenVBand="0" w:oddHBand="0" w:evenHBand="0" w:firstRowFirstColumn="0" w:firstRowLastColumn="1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left="480" w:hanging="48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 xml:space="preserve">       年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24"/>
                <w:szCs w:val="24"/>
                <w:rFonts w:ascii="仿宋_GB2312" w:eastAsia="仿宋_GB2312" w:hAnsi="仿宋_GB2312" w:hint="default"/>
              </w:rPr>
              <w:t>使用数量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hidden w:val="0"/>
        </w:trPr>
        <w:tc>
          <w:tcPr>
            <w:tcW w:type="dxa" w:w="811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t>1</w:t>
            </w:r>
          </w:p>
        </w:tc>
        <w:tc>
          <w:tcPr>
            <w:tcW w:type="dxa" w:w="1707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t>硫酸吗啡缓</w:t>
            </w:r>
            <w:r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t>释片</w:t>
            </w:r>
          </w:p>
        </w:tc>
        <w:tc>
          <w:tcPr>
            <w:tcW w:type="dxa" w:w="1559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t>30mg</w:t>
            </w:r>
          </w:p>
        </w:tc>
        <w:tc>
          <w:tcPr>
            <w:tcW w:type="dxa" w:w="141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t>300盒</w:t>
            </w:r>
          </w:p>
        </w:tc>
        <w:tc>
          <w:tcPr>
            <w:tcW w:type="dxa" w:w="1559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t>300盒</w:t>
            </w:r>
          </w:p>
        </w:tc>
        <w:tc>
          <w:tcPr>
            <w:tcW w:type="dxa" w:w="146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t>300盒</w:t>
            </w: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hidden w:val="0"/>
        </w:trPr>
        <w:tc>
          <w:tcPr>
            <w:tcW w:type="dxa" w:w="811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t>2</w:t>
            </w:r>
          </w:p>
        </w:tc>
        <w:tc>
          <w:tcPr>
            <w:tcW w:type="dxa" w:w="1707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t>以下略</w:t>
            </w:r>
          </w:p>
        </w:tc>
        <w:tc>
          <w:tcPr>
            <w:tcW w:type="dxa" w:w="1559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hidden w:val="0"/>
        </w:trPr>
        <w:tc>
          <w:tcPr>
            <w:tcW w:type="dxa" w:w="811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hidden w:val="0"/>
        </w:trPr>
        <w:tc>
          <w:tcPr>
            <w:tcW w:type="dxa" w:w="811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hidden w:val="0"/>
        </w:trPr>
        <w:tc>
          <w:tcPr>
            <w:tcW w:type="dxa" w:w="811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hidden w:val="0"/>
        </w:trPr>
        <w:tc>
          <w:tcPr>
            <w:tcW w:type="dxa" w:w="811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hidden w:val="0"/>
        </w:trPr>
        <w:tc>
          <w:tcPr>
            <w:tcW w:type="dxa" w:w="811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hidden w:val="0"/>
        </w:trPr>
        <w:tc>
          <w:tcPr>
            <w:tcW w:type="dxa" w:w="811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hidden w:val="0"/>
        </w:trPr>
        <w:tc>
          <w:tcPr>
            <w:tcW w:type="dxa" w:w="811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hidden w:val="0"/>
        </w:trPr>
        <w:tc>
          <w:tcPr>
            <w:tcW w:type="dxa" w:w="811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hidden w:val="0"/>
        </w:trPr>
        <w:tc>
          <w:tcPr>
            <w:tcW w:type="dxa" w:w="811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hidden w:val="0"/>
        </w:trPr>
        <w:tc>
          <w:tcPr>
            <w:tcW w:type="dxa" w:w="811"/>
            <w:cnfStyle w:val="001000010000" w:firstRow="0" w:lastRow="0" w:firstColumn="1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hidden w:val="0"/>
        </w:trPr>
        <w:tc>
          <w:tcPr>
            <w:tcW w:type="dxa" w:w="811"/>
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707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1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559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  <w:tc>
          <w:tcPr>
            <w:tcW w:type="dxa" w:w="1468"/>
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w:vAlign w:val="top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color w:val="auto"/>
                <w:position w:val="0"/>
                <w:sz w:val="28"/>
                <w:szCs w:val="28"/>
                <w:rFonts w:ascii="仿宋_GB2312" w:eastAsia="仿宋_GB2312" w:hAnsi="仿宋_GB2312" w:hint="default"/>
              </w:rPr>
              <w:autoSpaceDE w:val="1"/>
              <w:autoSpaceDN w:val="1"/>
            </w:pPr>
          </w:p>
        </w:tc>
      </w:tr>
    </w:tbl>
    <w:p>
      <w:pPr>
        <w:numPr>
          <w:ilvl w:val="0"/>
          <w:numId w:val="0"/>
        </w:numPr>
        <w:jc w:val="left"/>
        <w:spacing w:lineRule="auto" w:line="240" w:before="0" w:after="0"/>
        <w:ind w:right="0" w:firstLine="560"/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autoSpaceDE w:val="1"/>
        <w:autoSpaceDN w:val="1"/>
      </w:pP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>备注：以上药品未发生丢失、外借或不合理使用等情况。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560"/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autoSpaceDE w:val="1"/>
        <w:autoSpaceDN w:val="1"/>
      </w:pP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 xml:space="preserve">                                  某某医院（盖章）</w:t>
      </w:r>
    </w:p>
    <w:p>
      <w:pPr>
        <w:numPr>
          <w:ilvl w:val="0"/>
          <w:numId w:val="0"/>
        </w:numPr>
        <w:jc w:val="left"/>
        <w:spacing w:lineRule="auto" w:line="240" w:before="0" w:after="0"/>
        <w:ind w:right="0" w:firstLine="560"/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autoSpaceDE w:val="1"/>
        <w:autoSpaceDN w:val="1"/>
      </w:pPr>
      <w:r>
        <w:rPr>
          <w:color w:val="auto"/>
          <w:position w:val="0"/>
          <w:sz w:val="28"/>
          <w:szCs w:val="28"/>
          <w:rFonts w:ascii="仿宋_GB2312" w:eastAsia="仿宋_GB2312" w:hAnsi="仿宋_GB2312" w:hint="default"/>
        </w:rPr>
        <w:t xml:space="preserve">                                  2017年 11月1日</w:t>
      </w:r>
    </w:p>
    <w:sectPr>
      <w:pgSz w:w="11906" w:h="16838"/>
      <w:pgMar w:top="1440" w:left="1800" w:bottom="1440" w:righ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黑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420"/>
  <w:displayHorizontalDrawingGridEvery w:val="0"/>
  <w:displayVerticalDrawingGridEvery w:val="2"/>
  <w:characterSpacingControl w:val="compressPunctuation"/>
  <w:bordersDoNotSurroundHeader/>
  <w:bordersDoNotSurroundFooter/>
  <w:compat>
    <w:balanceSingleByteDoubleByteWidth/>
    <w:adjustLineHeightInTable/>
    <w:useFELayout/>
    <w:compatSetting w:name="compatibilityMode" w:uri="http://schemas.microsoft.com/office/word" w:val="14"/>
    <w:ulTrailSpace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widowControl/>
        <w:wordWrap/>
      </w:pPr>
    </w:pPrDefault>
    <w:rPrDefault>
      <w:rPr>
        <w:rFonts w:ascii="Calibri" w:eastAsia="宋体" w:hAnsi="Calibri"/>
        <w:shd w:val="clear"/>
        <w:sz w:val="21"/>
        <w:szCs w:val="21"/>
        <w:w w:val="100"/>
      </w:rPr>
    </w:rPrDefault>
  </w:docDefaults>
  <w:style w:default="1" w:styleId="PO1" w:type="paragraph">
    <w:name w:val="Normal"/>
    <w:qFormat/>
    <w:uiPriority w:val="1"/>
    <w:pPr>
      <w:autoSpaceDE w:val="1"/>
      <w:autoSpaceDN w:val="1"/>
      <w:jc w:val="both"/>
      <w:widowControl/>
      <w:wordWrap/>
    </w:p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basedOn w:val="PO3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autoSpaceDE w:val="1"/>
      <w:autoSpaceDN w:val="1"/>
      <w:jc w:val="center"/>
      <w:widowControl/>
      <w:wordWrap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autoSpaceDE w:val="1"/>
      <w:autoSpaceDN w:val="1"/>
      <w:jc w:val="both"/>
      <w:widowControl/>
      <w:wordWrap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autoSpaceDE w:val="1"/>
      <w:autoSpaceDN w:val="1"/>
      <w:ind w:left="1000" w:hanging="400"/>
      <w:jc w:val="both"/>
      <w:widowControl/>
      <w:wordWrap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autoSpaceDE w:val="1"/>
      <w:autoSpaceDN w:val="1"/>
      <w:ind w:left="12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autoSpaceDE w:val="1"/>
      <w:autoSpaceDN w:val="1"/>
      <w:ind w:left="1400" w:hanging="400"/>
      <w:jc w:val="both"/>
      <w:widowControl/>
      <w:wordWrap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autoSpaceDE w:val="1"/>
      <w:autoSpaceDN w:val="1"/>
      <w:ind w:left="1600" w:hanging="400"/>
      <w:jc w:val="both"/>
      <w:widowControl/>
      <w:wordWrap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autoSpaceDE w:val="1"/>
      <w:autoSpaceDN w:val="1"/>
      <w:ind w:left="1800" w:hanging="400"/>
      <w:jc w:val="both"/>
      <w:widowControl/>
      <w:wordWrap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autoSpaceDE w:val="1"/>
      <w:autoSpaceDN w:val="1"/>
      <w:ind w:left="2000" w:hanging="400"/>
      <w:jc w:val="both"/>
      <w:widowControl/>
      <w:wordWrap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autoSpaceDE w:val="1"/>
      <w:autoSpaceDN w:val="1"/>
      <w:ind w:left="2200" w:hanging="400"/>
      <w:jc w:val="both"/>
      <w:widowControl/>
      <w:wordWrap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autoSpaceDE w:val="1"/>
      <w:autoSpaceDN w:val="1"/>
      <w:jc w:val="center"/>
      <w:widowControl/>
      <w:wordWrap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autoSpaceDE w:val="1"/>
      <w:autoSpaceDN w:val="1"/>
      <w:ind w:left="864" w:right="864" w:firstLine="0"/>
      <w:jc w:val="center"/>
      <w:widowControl/>
      <w:wordWrap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autoSpaceDE w:val="1"/>
      <w:autoSpaceDN w:val="1"/>
      <w:ind w:left="950" w:right="950" w:firstLine="0"/>
      <w:jc w:val="center"/>
      <w:widowControl/>
      <w:wordWrap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>
      <w:autoSpaceDE w:val="1"/>
      <w:autoSpaceDN w:val="1"/>
      <w:widowControl/>
      <w:wordWrap/>
    </w:pPr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autoSpaceDE w:val="1"/>
      <w:autoSpaceDN w:val="1"/>
      <w:jc w:val="both"/>
      <w:widowControl/>
      <w:wordWrap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autoSpaceDE w:val="1"/>
      <w:autoSpaceDN w:val="1"/>
      <w:ind w:left="425" w:firstLine="0"/>
      <w:jc w:val="both"/>
      <w:widowControl/>
      <w:wordWrap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autoSpaceDE w:val="1"/>
      <w:autoSpaceDN w:val="1"/>
      <w:ind w:left="850" w:firstLine="0"/>
      <w:jc w:val="both"/>
      <w:widowControl/>
      <w:wordWrap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autoSpaceDE w:val="1"/>
      <w:autoSpaceDN w:val="1"/>
      <w:ind w:left="1275" w:firstLine="0"/>
      <w:jc w:val="both"/>
      <w:widowControl/>
      <w:wordWrap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autoSpaceDE w:val="1"/>
      <w:autoSpaceDN w:val="1"/>
      <w:ind w:left="1700" w:firstLine="0"/>
      <w:jc w:val="both"/>
      <w:widowControl/>
      <w:wordWrap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autoSpaceDE w:val="1"/>
      <w:autoSpaceDN w:val="1"/>
      <w:ind w:left="2125" w:firstLine="0"/>
      <w:jc w:val="both"/>
      <w:widowControl/>
      <w:wordWrap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autoSpaceDE w:val="1"/>
      <w:autoSpaceDN w:val="1"/>
      <w:ind w:left="2550" w:firstLine="0"/>
      <w:jc w:val="both"/>
      <w:widowControl/>
      <w:wordWrap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autoSpaceDE w:val="1"/>
      <w:autoSpaceDN w:val="1"/>
      <w:ind w:left="2975" w:firstLine="0"/>
      <w:jc w:val="both"/>
      <w:widowControl/>
      <w:wordWrap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autoSpaceDE w:val="1"/>
      <w:autoSpaceDN w:val="1"/>
      <w:ind w:left="3400" w:firstLine="0"/>
      <w:jc w:val="both"/>
      <w:widowControl/>
      <w:wordWrap/>
    </w:pPr>
    <w:rPr>
      <w:shd w:val="clear"/>
      <w:sz w:val="21"/>
      <w:szCs w:val="21"/>
      <w:w w:val="100"/>
    </w:rPr>
  </w:style>
  <w:style w:default="1" w:styleId="PO37" w:type="table">
    <w:name w:val="Normal Table"/>
    <w:basedOn w:val="PO3"/>
    <w:uiPriority w:val="37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styleId="PO38" w:type="table">
    <w:name w:val="Table Grid"/>
    <w:uiPriority w:val="38"/>
    <w:tblPr>
      <w:tblBorders>
        <w:bottom w:val="single" w:color="auto" w:sz="4"/>
        <w:insideH w:val="single" w:color="auto" w:sz="4"/>
        <w:insideV w:val="single" w:color="auto" w:sz="4"/>
        <w:left w:val="single" w:color="auto" w:sz="4"/>
        <w:right w:val="single" w:color="auto" w:sz="4"/>
        <w:top w:val="single" w:color="auto" w:sz="4"/>
      </w:tblBorders>
    </w:tblPr>
  </w:style>
  <w:style w:styleId="PO152" w:type="paragraph">
    <w:name w:val="header"/>
    <w:basedOn w:val="PO1"/>
    <w:link w:val="PO153"/>
    <w:uiPriority w:val="152"/>
    <w:unhideWhenUsed/>
    <w:pPr>
      <w:autoSpaceDE w:val="1"/>
      <w:autoSpaceDN w:val="1"/>
      <w:jc w:val="center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3" w:type="character">
    <w:name w:val="页眉 Char"/>
    <w:basedOn w:val="PO2"/>
    <w:link w:val="PO152"/>
    <w:uiPriority w:val="153"/>
    <w:rPr>
      <w:shd w:val="clear"/>
      <w:sz w:val="18"/>
      <w:szCs w:val="18"/>
      <w:w w:val="100"/>
    </w:rPr>
  </w:style>
  <w:style w:styleId="PO154" w:type="paragraph">
    <w:name w:val="footer"/>
    <w:basedOn w:val="PO1"/>
    <w:link w:val="PO155"/>
    <w:uiPriority w:val="154"/>
    <w:unhideWhenUsed/>
    <w:pPr>
      <w:autoSpaceDE w:val="1"/>
      <w:autoSpaceDN w:val="1"/>
      <w:tabs>
        <w:tab w:val="center" w:pos="4153"/>
        <w:tab w:val="right" w:pos="8306"/>
      </w:tabs>
      <w:widowControl/>
      <w:wordWrap/>
    </w:pPr>
    <w:rPr>
      <w:shd w:val="clear"/>
      <w:sz w:val="18"/>
      <w:szCs w:val="18"/>
      <w:w w:val="100"/>
    </w:rPr>
  </w:style>
  <w:style w:customStyle="1" w:styleId="PO155" w:type="character">
    <w:name w:val="页脚 Char"/>
    <w:basedOn w:val="PO2"/>
    <w:link w:val="PO154"/>
    <w:uiPriority w:val="155"/>
    <w:rPr>
      <w:shd w:val="clear"/>
      <w:sz w:val="18"/>
      <w:szCs w:val="18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2</Lines>
  <LinksUpToDate>false</LinksUpToDate>
  <Pages>1</Pages>
  <Paragraphs>1</Paragraphs>
  <Words>49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user</dc:creator>
  <cp:lastModifiedBy/>
  <dcterms:modified xsi:type="dcterms:W3CDTF">2017-12-20T03:11:00Z</dcterms:modified>
</cp:coreProperties>
</file>