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adjustRightInd w:val="0"/>
        <w:snapToGrid w:val="0"/>
        <w:spacing w:line="336" w:lineRule="auto"/>
        <w:rPr>
          <w:rFonts w:ascii="黑体" w:eastAsia="黑体"/>
          <w:szCs w:val="32"/>
        </w:rPr>
      </w:pPr>
    </w:p>
    <w:p>
      <w:pPr>
        <w:overflowPunct w:val="0"/>
        <w:adjustRightInd w:val="0"/>
        <w:snapToGrid w:val="0"/>
        <w:spacing w:line="336" w:lineRule="auto"/>
        <w:rPr>
          <w:rFonts w:ascii="黑体" w:eastAsia="黑体"/>
          <w:szCs w:val="32"/>
        </w:rPr>
      </w:pPr>
    </w:p>
    <w:p>
      <w:pPr>
        <w:overflowPunct w:val="0"/>
        <w:adjustRightInd w:val="0"/>
        <w:snapToGrid w:val="0"/>
        <w:spacing w:line="336" w:lineRule="auto"/>
        <w:rPr>
          <w:rFonts w:ascii="黑体" w:eastAsia="黑体"/>
          <w:szCs w:val="32"/>
        </w:rPr>
      </w:pPr>
    </w:p>
    <w:p>
      <w:pPr>
        <w:overflowPunct w:val="0"/>
        <w:adjustRightInd w:val="0"/>
        <w:snapToGrid w:val="0"/>
        <w:spacing w:line="100" w:lineRule="exact"/>
        <w:rPr>
          <w:rFonts w:ascii="黑体" w:eastAsia="黑体"/>
          <w:szCs w:val="32"/>
        </w:rPr>
      </w:pPr>
    </w:p>
    <w:p>
      <w:pPr>
        <w:overflowPunct w:val="0"/>
        <w:adjustRightInd w:val="0"/>
        <w:snapToGrid w:val="0"/>
        <w:ind w:left="-57"/>
        <w:jc w:val="center"/>
        <w:rPr>
          <w:rFonts w:ascii="方正小标宋简体" w:hAnsi="宋体" w:eastAsia="方正小标宋简体"/>
          <w:color w:val="FF0000"/>
          <w:sz w:val="72"/>
          <w:szCs w:val="72"/>
        </w:rPr>
      </w:pPr>
      <w:r>
        <w:rPr>
          <w:rFonts w:hint="eastAsia" w:ascii="方正小标宋简体" w:hAnsi="宋体" w:eastAsia="方正小标宋简体"/>
          <w:color w:val="FF0000"/>
          <w:sz w:val="72"/>
          <w:szCs w:val="72"/>
        </w:rPr>
        <w:t>上海市市场监督管理局文件</w:t>
      </w:r>
    </w:p>
    <w:p>
      <w:pPr>
        <w:tabs>
          <w:tab w:val="left" w:pos="790"/>
        </w:tabs>
        <w:overflowPunct w:val="0"/>
        <w:adjustRightInd w:val="0"/>
        <w:snapToGrid w:val="0"/>
        <w:spacing w:line="252" w:lineRule="auto"/>
        <w:jc w:val="center"/>
        <w:rPr>
          <w:rFonts w:ascii="黑体" w:eastAsia="黑体"/>
          <w:szCs w:val="32"/>
        </w:rPr>
      </w:pPr>
    </w:p>
    <w:p>
      <w:pPr>
        <w:tabs>
          <w:tab w:val="left" w:pos="790"/>
        </w:tabs>
        <w:overflowPunct w:val="0"/>
        <w:adjustRightInd w:val="0"/>
        <w:snapToGrid w:val="0"/>
        <w:spacing w:line="252" w:lineRule="auto"/>
        <w:jc w:val="center"/>
        <w:rPr>
          <w:rFonts w:ascii="黑体" w:eastAsia="黑体"/>
          <w:szCs w:val="32"/>
        </w:rPr>
      </w:pPr>
    </w:p>
    <w:p>
      <w:pPr>
        <w:tabs>
          <w:tab w:val="left" w:pos="790"/>
        </w:tabs>
        <w:overflowPunct w:val="0"/>
        <w:adjustRightInd w:val="0"/>
        <w:snapToGrid w:val="0"/>
        <w:spacing w:line="336" w:lineRule="auto"/>
        <w:jc w:val="center"/>
        <w:rPr>
          <w:szCs w:val="32"/>
        </w:rPr>
      </w:pPr>
      <w:r>
        <w:rPr>
          <w:szCs w:val="30"/>
        </w:rPr>
        <mc:AlternateContent>
          <mc:Choice Requires="wps">
            <w:drawing>
              <wp:anchor distT="0" distB="0" distL="114300" distR="114300" simplePos="0" relativeHeight="251658240" behindDoc="0" locked="1" layoutInCell="1" allowOverlap="1">
                <wp:simplePos x="0" y="0"/>
                <wp:positionH relativeFrom="column">
                  <wp:posOffset>635</wp:posOffset>
                </wp:positionH>
                <wp:positionV relativeFrom="paragraph">
                  <wp:posOffset>386080</wp:posOffset>
                </wp:positionV>
                <wp:extent cx="5615940" cy="0"/>
                <wp:effectExtent l="0" t="9525" r="3810" b="9525"/>
                <wp:wrapNone/>
                <wp:docPr id="1" name="直线 2"/>
                <wp:cNvGraphicFramePr/>
                <a:graphic xmlns:a="http://schemas.openxmlformats.org/drawingml/2006/main">
                  <a:graphicData uri="http://schemas.microsoft.com/office/word/2010/wordprocessingShape">
                    <wps:wsp>
                      <wps:cNvCnPr/>
                      <wps:spPr>
                        <a:xfrm>
                          <a:off x="0" y="0"/>
                          <a:ext cx="5615940" cy="0"/>
                        </a:xfrm>
                        <a:prstGeom prst="line">
                          <a:avLst/>
                        </a:prstGeom>
                        <a:ln w="19050" cap="flat" cmpd="sng">
                          <a:solidFill>
                            <a:srgbClr val="FF0000"/>
                          </a:solidFill>
                          <a:prstDash val="solid"/>
                          <a:headEnd type="none" w="med" len="med"/>
                          <a:tailEnd type="none" w="med" len="med"/>
                        </a:ln>
                      </wps:spPr>
                      <wps:bodyPr upright="true"/>
                    </wps:wsp>
                  </a:graphicData>
                </a:graphic>
              </wp:anchor>
            </w:drawing>
          </mc:Choice>
          <mc:Fallback>
            <w:pict>
              <v:line id="直线 2" o:spid="_x0000_s1026" o:spt="20" style="position:absolute;left:0pt;margin-left:0.05pt;margin-top:30.4pt;height:0pt;width:442.2pt;z-index:251658240;mso-width-relative:page;mso-height-relative:page;" filled="f" stroked="t" coordsize="21600,21600" o:gfxdata="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BYAAABkcnMvUEsBAhQAFAAAAAgAh07iQIgOgsDUAAAA&#10;BgEAAA8AAAAAAAAAAQAgAAAAOAAAAGRycy9kb3ducmV2LnhtbFBLAQIUABQAAAAIAIdO4kBlq/V9&#10;0gEAAJEDAAAOAAAAAAAAAAEAIAAAADkBAABkcnMvZTJvRG9jLnhtbFBLBQYAAAAABgAGAFkBAAB9&#10;BQAAAAA=&#10;">
                <v:fill on="f" focussize="0,0"/>
                <v:stroke weight="1.5pt" color="#FF0000" joinstyle="round"/>
                <v:imagedata o:title=""/>
                <o:lock v:ext="edit" aspectratio="f"/>
                <w10:anchorlock/>
              </v:line>
            </w:pict>
          </mc:Fallback>
        </mc:AlternateContent>
      </w:r>
      <w:r>
        <w:rPr>
          <w:rFonts w:hint="eastAsia"/>
          <w:szCs w:val="32"/>
        </w:rPr>
        <w:t>沪市监食生〔202</w:t>
      </w:r>
      <w:r>
        <w:rPr>
          <w:szCs w:val="32"/>
        </w:rPr>
        <w:t>2</w:t>
      </w:r>
      <w:r>
        <w:rPr>
          <w:rFonts w:hint="eastAsia"/>
          <w:szCs w:val="32"/>
        </w:rPr>
        <w:t>〕128号</w:t>
      </w:r>
    </w:p>
    <w:p>
      <w:pPr>
        <w:tabs>
          <w:tab w:val="left" w:pos="790"/>
        </w:tabs>
        <w:overflowPunct w:val="0"/>
        <w:adjustRightInd w:val="0"/>
        <w:snapToGrid w:val="0"/>
        <w:spacing w:line="336" w:lineRule="auto"/>
        <w:jc w:val="center"/>
        <w:rPr>
          <w:szCs w:val="30"/>
        </w:rPr>
      </w:pPr>
    </w:p>
    <w:p>
      <w:pPr>
        <w:tabs>
          <w:tab w:val="left" w:pos="790"/>
        </w:tabs>
        <w:overflowPunct w:val="0"/>
        <w:adjustRightInd w:val="0"/>
        <w:snapToGrid w:val="0"/>
        <w:spacing w:line="336" w:lineRule="auto"/>
        <w:jc w:val="center"/>
        <w:rPr>
          <w:szCs w:val="30"/>
        </w:rPr>
      </w:pPr>
    </w:p>
    <w:p>
      <w:pPr>
        <w:tabs>
          <w:tab w:val="left" w:pos="790"/>
        </w:tabs>
        <w:overflowPunct w:val="0"/>
        <w:adjustRightInd w:val="0"/>
        <w:snapToGrid w:val="0"/>
        <w:spacing w:line="228" w:lineRule="auto"/>
        <w:jc w:val="center"/>
        <w:rPr>
          <w:rFonts w:ascii="方正小标宋简体" w:hAnsi="宋体" w:eastAsia="方正小标宋简体"/>
          <w:sz w:val="44"/>
          <w:szCs w:val="44"/>
        </w:rPr>
      </w:pPr>
      <w:r>
        <w:rPr>
          <w:rFonts w:hint="eastAsia" w:ascii="方正小标宋简体" w:hAnsi="宋体" w:eastAsia="方正小标宋简体"/>
          <w:sz w:val="44"/>
          <w:szCs w:val="44"/>
        </w:rPr>
        <w:t>上海市市场监督管理局关于</w:t>
      </w:r>
    </w:p>
    <w:p>
      <w:pPr>
        <w:tabs>
          <w:tab w:val="left" w:pos="790"/>
        </w:tabs>
        <w:overflowPunct w:val="0"/>
        <w:adjustRightInd w:val="0"/>
        <w:snapToGrid w:val="0"/>
        <w:spacing w:line="228" w:lineRule="auto"/>
        <w:jc w:val="center"/>
        <w:rPr>
          <w:rFonts w:ascii="方正小标宋简体" w:hAnsi="宋体" w:eastAsia="方正小标宋简体"/>
          <w:sz w:val="44"/>
          <w:szCs w:val="44"/>
        </w:rPr>
      </w:pPr>
      <w:r>
        <w:rPr>
          <w:rFonts w:hint="eastAsia" w:ascii="方正小标宋简体" w:hAnsi="宋体" w:eastAsia="方正小标宋简体"/>
          <w:sz w:val="44"/>
          <w:szCs w:val="44"/>
        </w:rPr>
        <w:t>在中国（上海）自由贸易试验区内</w:t>
      </w:r>
    </w:p>
    <w:p>
      <w:pPr>
        <w:tabs>
          <w:tab w:val="left" w:pos="790"/>
        </w:tabs>
        <w:overflowPunct w:val="0"/>
        <w:adjustRightInd w:val="0"/>
        <w:snapToGrid w:val="0"/>
        <w:spacing w:line="228" w:lineRule="auto"/>
        <w:jc w:val="center"/>
        <w:rPr>
          <w:rFonts w:ascii="方正小标宋简体" w:hAnsi="宋体" w:eastAsia="方正小标宋简体"/>
          <w:sz w:val="44"/>
          <w:szCs w:val="44"/>
        </w:rPr>
      </w:pPr>
      <w:r>
        <w:rPr>
          <w:rFonts w:hint="eastAsia" w:ascii="方正小标宋简体" w:hAnsi="宋体" w:eastAsia="方正小标宋简体"/>
          <w:sz w:val="44"/>
          <w:szCs w:val="44"/>
        </w:rPr>
        <w:t>实施食品（含食品添加剂）生产许可</w:t>
      </w:r>
    </w:p>
    <w:p>
      <w:pPr>
        <w:tabs>
          <w:tab w:val="left" w:pos="790"/>
        </w:tabs>
        <w:overflowPunct w:val="0"/>
        <w:adjustRightInd w:val="0"/>
        <w:snapToGrid w:val="0"/>
        <w:spacing w:line="228" w:lineRule="auto"/>
        <w:jc w:val="center"/>
        <w:rPr>
          <w:rFonts w:ascii="方正小标宋简体" w:hAnsi="宋体" w:eastAsia="方正小标宋简体"/>
          <w:sz w:val="44"/>
          <w:szCs w:val="44"/>
        </w:rPr>
      </w:pPr>
      <w:r>
        <w:rPr>
          <w:rFonts w:hint="eastAsia" w:ascii="方正小标宋简体" w:hAnsi="宋体" w:eastAsia="方正小标宋简体"/>
          <w:sz w:val="44"/>
          <w:szCs w:val="44"/>
        </w:rPr>
        <w:t>告知承诺改革的通知</w:t>
      </w:r>
    </w:p>
    <w:p>
      <w:pPr>
        <w:tabs>
          <w:tab w:val="left" w:pos="790"/>
          <w:tab w:val="left" w:pos="1264"/>
        </w:tabs>
        <w:overflowPunct w:val="0"/>
        <w:adjustRightInd w:val="0"/>
        <w:snapToGrid w:val="0"/>
        <w:spacing w:line="336" w:lineRule="auto"/>
        <w:ind w:firstLine="624"/>
        <w:rPr>
          <w:rFonts w:hAnsi="宋体"/>
          <w:szCs w:val="30"/>
        </w:rPr>
      </w:pPr>
    </w:p>
    <w:p>
      <w:pPr>
        <w:tabs>
          <w:tab w:val="left" w:pos="790"/>
          <w:tab w:val="left" w:pos="1264"/>
        </w:tabs>
        <w:overflowPunct w:val="0"/>
        <w:adjustRightInd w:val="0"/>
        <w:snapToGrid w:val="0"/>
        <w:spacing w:line="336" w:lineRule="auto"/>
        <w:rPr>
          <w:rFonts w:hAnsi="宋体"/>
          <w:szCs w:val="30"/>
        </w:rPr>
      </w:pPr>
      <w:r>
        <w:rPr>
          <w:rFonts w:hint="eastAsia" w:hAnsi="宋体"/>
          <w:szCs w:val="30"/>
        </w:rPr>
        <w:t>浦东新区市场监管局，奉贤区市场监管局，临港新片区市场监管局，市局行政服务中心：</w:t>
      </w:r>
    </w:p>
    <w:p>
      <w:pPr>
        <w:tabs>
          <w:tab w:val="left" w:pos="790"/>
          <w:tab w:val="left" w:pos="1264"/>
        </w:tabs>
        <w:overflowPunct w:val="0"/>
        <w:adjustRightInd w:val="0"/>
        <w:snapToGrid w:val="0"/>
        <w:spacing w:line="336" w:lineRule="auto"/>
        <w:ind w:firstLine="624"/>
        <w:rPr>
          <w:rFonts w:hAnsi="宋体"/>
          <w:szCs w:val="30"/>
        </w:rPr>
      </w:pPr>
      <w:r>
        <w:rPr>
          <w:rFonts w:hint="eastAsia" w:hAnsi="宋体"/>
          <w:szCs w:val="30"/>
        </w:rPr>
        <w:t>为贯彻落实《国务院关于深化“证照分离”改革　进一步激发市场主体发展活力的通知》（国发〔2021〕7号）、《市场监管总局关于充分发挥职能作用　落实深化“证照分离”改革任务的通知》（国市监注发〔2021〕36号）要求，在中国（上海）自由贸易试验区内，除特殊食品（包括保健食品、婴幼儿配方食品和特殊医学用途配方食品）外，普通食品和食品添加剂全面实施食品生产许可告知承诺，现就有关事项通知如下：</w:t>
      </w:r>
    </w:p>
    <w:p>
      <w:pPr>
        <w:tabs>
          <w:tab w:val="left" w:pos="790"/>
          <w:tab w:val="left" w:pos="1264"/>
        </w:tabs>
        <w:overflowPunct w:val="0"/>
        <w:adjustRightInd w:val="0"/>
        <w:snapToGrid w:val="0"/>
        <w:spacing w:line="336" w:lineRule="auto"/>
        <w:ind w:firstLine="624"/>
        <w:rPr>
          <w:rFonts w:ascii="黑体" w:hAnsi="黑体" w:eastAsia="黑体" w:cs="黑体"/>
          <w:szCs w:val="30"/>
        </w:rPr>
      </w:pPr>
      <w:r>
        <w:rPr>
          <w:rFonts w:hint="eastAsia" w:ascii="黑体" w:hAnsi="黑体" w:eastAsia="黑体" w:cs="黑体"/>
          <w:szCs w:val="30"/>
        </w:rPr>
        <w:t>一、改革范围</w:t>
      </w:r>
    </w:p>
    <w:p>
      <w:pPr>
        <w:tabs>
          <w:tab w:val="left" w:pos="790"/>
          <w:tab w:val="left" w:pos="1264"/>
        </w:tabs>
        <w:overflowPunct w:val="0"/>
        <w:adjustRightInd w:val="0"/>
        <w:snapToGrid w:val="0"/>
        <w:spacing w:line="336" w:lineRule="auto"/>
        <w:ind w:firstLine="624"/>
        <w:rPr>
          <w:rFonts w:hAnsi="宋体"/>
          <w:szCs w:val="30"/>
        </w:rPr>
      </w:pPr>
      <w:r>
        <w:rPr>
          <w:rFonts w:hint="eastAsia" w:hAnsi="宋体"/>
          <w:szCs w:val="30"/>
        </w:rPr>
        <w:t>中国（上海）自由贸易试验区内，食品生产许可全部31类食品和食品添加剂中，除保健食品、婴幼儿配方食品和特殊医学用途配方食品3类特殊食品外，其他28类普通食品和食品添加剂全面实施生产许可告知承诺改革。</w:t>
      </w:r>
    </w:p>
    <w:p>
      <w:pPr>
        <w:tabs>
          <w:tab w:val="left" w:pos="790"/>
          <w:tab w:val="left" w:pos="1264"/>
        </w:tabs>
        <w:overflowPunct w:val="0"/>
        <w:adjustRightInd w:val="0"/>
        <w:snapToGrid w:val="0"/>
        <w:spacing w:line="336" w:lineRule="auto"/>
        <w:ind w:firstLine="624"/>
        <w:rPr>
          <w:rFonts w:ascii="黑体" w:hAnsi="黑体" w:eastAsia="黑体" w:cs="黑体"/>
          <w:szCs w:val="30"/>
        </w:rPr>
      </w:pPr>
      <w:r>
        <w:rPr>
          <w:rFonts w:hint="eastAsia" w:ascii="黑体" w:hAnsi="黑体" w:eastAsia="黑体" w:cs="黑体"/>
          <w:szCs w:val="30"/>
        </w:rPr>
        <w:t>二、实施时间</w:t>
      </w:r>
    </w:p>
    <w:p>
      <w:pPr>
        <w:tabs>
          <w:tab w:val="left" w:pos="790"/>
          <w:tab w:val="left" w:pos="1264"/>
        </w:tabs>
        <w:overflowPunct w:val="0"/>
        <w:adjustRightInd w:val="0"/>
        <w:snapToGrid w:val="0"/>
        <w:spacing w:line="336" w:lineRule="auto"/>
        <w:ind w:firstLine="624"/>
        <w:rPr>
          <w:rFonts w:hAnsi="宋体"/>
          <w:szCs w:val="30"/>
        </w:rPr>
      </w:pPr>
      <w:r>
        <w:rPr>
          <w:rFonts w:hint="eastAsia" w:hAnsi="宋体"/>
          <w:szCs w:val="30"/>
        </w:rPr>
        <w:t>2022年4月1日起。</w:t>
      </w:r>
    </w:p>
    <w:p>
      <w:pPr>
        <w:tabs>
          <w:tab w:val="left" w:pos="790"/>
          <w:tab w:val="left" w:pos="1264"/>
        </w:tabs>
        <w:overflowPunct w:val="0"/>
        <w:adjustRightInd w:val="0"/>
        <w:snapToGrid w:val="0"/>
        <w:spacing w:line="336" w:lineRule="auto"/>
        <w:ind w:firstLine="624"/>
        <w:rPr>
          <w:rFonts w:ascii="黑体" w:hAnsi="黑体" w:eastAsia="黑体" w:cs="黑体"/>
          <w:szCs w:val="30"/>
        </w:rPr>
      </w:pPr>
      <w:r>
        <w:rPr>
          <w:rFonts w:hint="eastAsia" w:ascii="黑体" w:hAnsi="黑体" w:eastAsia="黑体" w:cs="黑体"/>
          <w:szCs w:val="30"/>
        </w:rPr>
        <w:t>三、实施主体</w:t>
      </w:r>
    </w:p>
    <w:p>
      <w:pPr>
        <w:tabs>
          <w:tab w:val="left" w:pos="790"/>
          <w:tab w:val="left" w:pos="1264"/>
        </w:tabs>
        <w:overflowPunct w:val="0"/>
        <w:adjustRightInd w:val="0"/>
        <w:snapToGrid w:val="0"/>
        <w:spacing w:line="336" w:lineRule="auto"/>
        <w:ind w:firstLine="624"/>
        <w:rPr>
          <w:rFonts w:hAnsi="宋体"/>
          <w:szCs w:val="30"/>
        </w:rPr>
      </w:pPr>
      <w:r>
        <w:rPr>
          <w:rFonts w:hint="eastAsia" w:hAnsi="宋体"/>
          <w:szCs w:val="30"/>
        </w:rPr>
        <w:t>中国（上海）自由贸易试验区内，取得营业执照的食品（含食品添加剂，下同）生产者据食品生产场所所在地址，向相关辖区市场监管局提出告知承诺食品生产许可申请，并承诺其符合审批条件，辖区市场监管局依法当场作出食品生产许可审批决定。</w:t>
      </w:r>
    </w:p>
    <w:p>
      <w:pPr>
        <w:tabs>
          <w:tab w:val="left" w:pos="790"/>
          <w:tab w:val="left" w:pos="1264"/>
        </w:tabs>
        <w:overflowPunct w:val="0"/>
        <w:adjustRightInd w:val="0"/>
        <w:snapToGrid w:val="0"/>
        <w:spacing w:line="336" w:lineRule="auto"/>
        <w:ind w:firstLine="624"/>
        <w:rPr>
          <w:rFonts w:hAnsi="宋体"/>
          <w:szCs w:val="30"/>
        </w:rPr>
      </w:pPr>
      <w:r>
        <w:rPr>
          <w:rFonts w:hint="eastAsia" w:hAnsi="宋体"/>
          <w:szCs w:val="30"/>
        </w:rPr>
        <w:t>申请人申请的食品中涉及特殊膳食食品类别中婴幼儿辅助食品或调味品类别中食盐的，向市市场监管局提出食品生产许可申请，市市场监管局核查其中婴幼儿辅助食品或食盐的许可申请材料，相关辖区市场监管局核查除婴幼儿辅助食品和食盐外的许可申请材料，市市场监管局统一汇总许可申请材料核查结果后，依法当场作出食品生产许可审批决定。</w:t>
      </w:r>
    </w:p>
    <w:p>
      <w:pPr>
        <w:tabs>
          <w:tab w:val="left" w:pos="790"/>
          <w:tab w:val="left" w:pos="1264"/>
        </w:tabs>
        <w:overflowPunct w:val="0"/>
        <w:adjustRightInd w:val="0"/>
        <w:snapToGrid w:val="0"/>
        <w:spacing w:line="336" w:lineRule="auto"/>
        <w:ind w:firstLine="624"/>
        <w:rPr>
          <w:rFonts w:hAnsi="宋体"/>
          <w:szCs w:val="30"/>
        </w:rPr>
      </w:pPr>
      <w:r>
        <w:rPr>
          <w:rFonts w:hint="eastAsia" w:hAnsi="宋体"/>
          <w:szCs w:val="30"/>
        </w:rPr>
        <w:t>对告知承诺食品生产许可事项，相关辖区市场监管局实行“双轨”审批管理方式，允许市场主体自愿选择告知承诺审批或者原有优化服务审批方式。</w:t>
      </w:r>
    </w:p>
    <w:p>
      <w:pPr>
        <w:tabs>
          <w:tab w:val="left" w:pos="790"/>
          <w:tab w:val="left" w:pos="1264"/>
        </w:tabs>
        <w:overflowPunct w:val="0"/>
        <w:adjustRightInd w:val="0"/>
        <w:snapToGrid w:val="0"/>
        <w:spacing w:line="336" w:lineRule="auto"/>
        <w:ind w:firstLine="624"/>
        <w:rPr>
          <w:rFonts w:ascii="黑体" w:hAnsi="黑体" w:eastAsia="黑体" w:cs="黑体"/>
          <w:szCs w:val="30"/>
        </w:rPr>
      </w:pPr>
      <w:r>
        <w:rPr>
          <w:rFonts w:hint="eastAsia" w:ascii="黑体" w:hAnsi="黑体" w:eastAsia="黑体" w:cs="黑体"/>
          <w:szCs w:val="30"/>
        </w:rPr>
        <w:t>四、实施依据</w:t>
      </w:r>
    </w:p>
    <w:p>
      <w:pPr>
        <w:tabs>
          <w:tab w:val="left" w:pos="790"/>
          <w:tab w:val="left" w:pos="1264"/>
        </w:tabs>
        <w:overflowPunct w:val="0"/>
        <w:adjustRightInd w:val="0"/>
        <w:snapToGrid w:val="0"/>
        <w:spacing w:line="336" w:lineRule="auto"/>
        <w:ind w:firstLine="624"/>
        <w:rPr>
          <w:rFonts w:hAnsi="宋体"/>
          <w:szCs w:val="30"/>
        </w:rPr>
      </w:pPr>
      <w:r>
        <w:rPr>
          <w:rFonts w:hint="eastAsia" w:hAnsi="宋体"/>
          <w:szCs w:val="30"/>
        </w:rPr>
        <w:t>根据《上海市市场监管局关于在全市范围内推广〈食品生产许可证核发〉（低风险食品）实施告知承诺的通知》（沪市监食生〔2021〕3号）中的上海市低风险食品生产许可告知承诺管理办法开展告知承诺改革，适用范围调整为除特殊食品外的其他28类普通食品和食品添加剂。</w:t>
      </w:r>
    </w:p>
    <w:p>
      <w:pPr>
        <w:tabs>
          <w:tab w:val="left" w:pos="790"/>
          <w:tab w:val="left" w:pos="1264"/>
        </w:tabs>
        <w:overflowPunct w:val="0"/>
        <w:adjustRightInd w:val="0"/>
        <w:snapToGrid w:val="0"/>
        <w:spacing w:line="336" w:lineRule="auto"/>
        <w:ind w:firstLine="624"/>
        <w:rPr>
          <w:rFonts w:hAnsi="宋体"/>
          <w:szCs w:val="30"/>
        </w:rPr>
      </w:pPr>
      <w:r>
        <w:rPr>
          <w:rFonts w:hint="eastAsia" w:hAnsi="宋体"/>
          <w:szCs w:val="30"/>
        </w:rPr>
        <w:t>新版食品生产许可行政审批告知承诺书（首次申请、变更申请和延续申请）分别见附件1、附件2和附件3。</w:t>
      </w:r>
    </w:p>
    <w:p>
      <w:pPr>
        <w:tabs>
          <w:tab w:val="left" w:pos="790"/>
          <w:tab w:val="left" w:pos="1264"/>
        </w:tabs>
        <w:overflowPunct w:val="0"/>
        <w:adjustRightInd w:val="0"/>
        <w:snapToGrid w:val="0"/>
        <w:spacing w:line="336" w:lineRule="auto"/>
        <w:ind w:firstLine="624"/>
        <w:rPr>
          <w:rFonts w:ascii="黑体" w:hAnsi="黑体" w:eastAsia="黑体" w:cs="黑体"/>
          <w:szCs w:val="30"/>
        </w:rPr>
      </w:pPr>
      <w:r>
        <w:rPr>
          <w:rFonts w:hint="eastAsia" w:ascii="黑体" w:hAnsi="黑体" w:eastAsia="黑体" w:cs="黑体"/>
          <w:szCs w:val="30"/>
        </w:rPr>
        <w:t>五、强化监管</w:t>
      </w:r>
    </w:p>
    <w:p>
      <w:pPr>
        <w:tabs>
          <w:tab w:val="left" w:pos="790"/>
          <w:tab w:val="left" w:pos="1264"/>
        </w:tabs>
        <w:overflowPunct w:val="0"/>
        <w:adjustRightInd w:val="0"/>
        <w:snapToGrid w:val="0"/>
        <w:spacing w:line="336" w:lineRule="auto"/>
        <w:ind w:firstLine="624"/>
        <w:rPr>
          <w:rFonts w:hAnsi="宋体"/>
          <w:szCs w:val="30"/>
        </w:rPr>
      </w:pPr>
      <w:r>
        <w:rPr>
          <w:rFonts w:hint="eastAsia" w:hAnsi="宋体"/>
          <w:szCs w:val="30"/>
        </w:rPr>
        <w:t>相关市场监管局根据《上海市市场监督管理局关于进一步落实〈上海市低风险食品生产许可告知承诺管理办法〉有关事项的通知》（沪市监食生〔2021〕385号）要求，在作出准予许可决定后30个工作日内组织开展告知承诺监督检查，根据检查结果依法组织开展后续处置或事中事后监管。</w:t>
      </w:r>
    </w:p>
    <w:p>
      <w:pPr>
        <w:tabs>
          <w:tab w:val="left" w:pos="790"/>
          <w:tab w:val="left" w:pos="1264"/>
        </w:tabs>
        <w:overflowPunct w:val="0"/>
        <w:adjustRightInd w:val="0"/>
        <w:snapToGrid w:val="0"/>
        <w:spacing w:line="336" w:lineRule="auto"/>
        <w:ind w:firstLine="624"/>
        <w:rPr>
          <w:rFonts w:hAnsi="宋体"/>
          <w:szCs w:val="30"/>
        </w:rPr>
      </w:pPr>
      <w:r>
        <w:rPr>
          <w:rFonts w:hint="eastAsia" w:hAnsi="宋体"/>
          <w:szCs w:val="30"/>
        </w:rPr>
        <w:t>各单位在中国（上海）自由贸易试验区内实施告知承诺改革过程中遇到问题的，及时报市市场监管局食品生产安全监督管理处。</w:t>
      </w:r>
    </w:p>
    <w:p>
      <w:pPr>
        <w:tabs>
          <w:tab w:val="left" w:pos="790"/>
          <w:tab w:val="left" w:pos="1264"/>
        </w:tabs>
        <w:overflowPunct w:val="0"/>
        <w:adjustRightInd w:val="0"/>
        <w:snapToGrid w:val="0"/>
        <w:spacing w:line="336" w:lineRule="auto"/>
        <w:ind w:firstLine="624"/>
        <w:rPr>
          <w:rFonts w:hAnsi="宋体"/>
          <w:szCs w:val="30"/>
        </w:rPr>
      </w:pPr>
      <w:r>
        <w:rPr>
          <w:rFonts w:hint="eastAsia" w:hAnsi="宋体"/>
          <w:szCs w:val="30"/>
        </w:rPr>
        <w:t>联 系 人：许天乐</w:t>
      </w:r>
    </w:p>
    <w:p>
      <w:pPr>
        <w:tabs>
          <w:tab w:val="left" w:pos="790"/>
          <w:tab w:val="left" w:pos="1264"/>
        </w:tabs>
        <w:overflowPunct w:val="0"/>
        <w:adjustRightInd w:val="0"/>
        <w:snapToGrid w:val="0"/>
        <w:spacing w:line="336" w:lineRule="auto"/>
        <w:ind w:firstLine="624"/>
        <w:rPr>
          <w:rFonts w:hAnsi="宋体"/>
          <w:szCs w:val="30"/>
        </w:rPr>
      </w:pPr>
      <w:r>
        <w:rPr>
          <w:rFonts w:hint="eastAsia" w:hAnsi="宋体"/>
          <w:szCs w:val="30"/>
        </w:rPr>
        <w:t>联系电话：64220000转2205分机</w:t>
      </w:r>
    </w:p>
    <w:p>
      <w:pPr>
        <w:tabs>
          <w:tab w:val="left" w:pos="790"/>
          <w:tab w:val="left" w:pos="1264"/>
        </w:tabs>
        <w:overflowPunct w:val="0"/>
        <w:adjustRightInd w:val="0"/>
        <w:snapToGrid w:val="0"/>
        <w:spacing w:line="336" w:lineRule="auto"/>
        <w:ind w:firstLine="624"/>
        <w:rPr>
          <w:rFonts w:hAnsi="宋体"/>
          <w:szCs w:val="30"/>
        </w:rPr>
      </w:pPr>
    </w:p>
    <w:p>
      <w:pPr>
        <w:tabs>
          <w:tab w:val="left" w:pos="790"/>
          <w:tab w:val="left" w:pos="1264"/>
        </w:tabs>
        <w:overflowPunct w:val="0"/>
        <w:adjustRightInd w:val="0"/>
        <w:snapToGrid w:val="0"/>
        <w:spacing w:line="336" w:lineRule="auto"/>
        <w:ind w:firstLine="624"/>
        <w:rPr>
          <w:rFonts w:hAnsi="宋体"/>
          <w:szCs w:val="30"/>
        </w:rPr>
      </w:pPr>
      <w:r>
        <w:rPr>
          <w:rFonts w:hint="eastAsia" w:hAnsi="宋体"/>
          <w:szCs w:val="30"/>
        </w:rPr>
        <w:t>附件：1．食品生产许可行政审批告知承诺书（首次申请）</w:t>
      </w:r>
    </w:p>
    <w:p>
      <w:pPr>
        <w:tabs>
          <w:tab w:val="left" w:pos="790"/>
          <w:tab w:val="left" w:pos="1264"/>
        </w:tabs>
        <w:overflowPunct w:val="0"/>
        <w:adjustRightInd w:val="0"/>
        <w:snapToGrid w:val="0"/>
        <w:spacing w:line="336" w:lineRule="auto"/>
        <w:ind w:firstLine="1580"/>
        <w:rPr>
          <w:rFonts w:hAnsi="宋体"/>
          <w:szCs w:val="30"/>
        </w:rPr>
      </w:pPr>
      <w:r>
        <w:rPr>
          <w:rFonts w:hint="eastAsia" w:hAnsi="宋体"/>
          <w:szCs w:val="30"/>
        </w:rPr>
        <w:t>2．食品生产许可行政审批告知承诺书（变更申请）</w:t>
      </w:r>
    </w:p>
    <w:p>
      <w:pPr>
        <w:tabs>
          <w:tab w:val="left" w:pos="790"/>
          <w:tab w:val="left" w:pos="1264"/>
        </w:tabs>
        <w:overflowPunct w:val="0"/>
        <w:adjustRightInd w:val="0"/>
        <w:snapToGrid w:val="0"/>
        <w:spacing w:line="336" w:lineRule="auto"/>
        <w:ind w:firstLine="1580"/>
        <w:rPr>
          <w:rFonts w:hAnsi="宋体"/>
          <w:szCs w:val="30"/>
        </w:rPr>
      </w:pPr>
      <w:r>
        <w:rPr>
          <w:rFonts w:hint="eastAsia" w:hAnsi="宋体"/>
          <w:szCs w:val="30"/>
        </w:rPr>
        <w:t>3．食品生产许可行政审批告知承诺书（延续申请）</w:t>
      </w:r>
    </w:p>
    <w:p>
      <w:pPr>
        <w:tabs>
          <w:tab w:val="left" w:pos="790"/>
          <w:tab w:val="left" w:pos="1264"/>
        </w:tabs>
        <w:overflowPunct w:val="0"/>
        <w:adjustRightInd w:val="0"/>
        <w:snapToGrid w:val="0"/>
        <w:spacing w:line="336" w:lineRule="auto"/>
        <w:ind w:firstLine="624"/>
        <w:rPr>
          <w:rFonts w:hAnsi="宋体"/>
          <w:szCs w:val="30"/>
        </w:rPr>
      </w:pPr>
    </w:p>
    <w:p>
      <w:pPr>
        <w:tabs>
          <w:tab w:val="left" w:pos="790"/>
          <w:tab w:val="left" w:pos="1264"/>
        </w:tabs>
        <w:overflowPunct w:val="0"/>
        <w:adjustRightInd w:val="0"/>
        <w:snapToGrid w:val="0"/>
        <w:spacing w:line="336" w:lineRule="auto"/>
        <w:ind w:firstLine="624"/>
        <w:rPr>
          <w:rFonts w:hAnsi="宋体"/>
          <w:szCs w:val="30"/>
        </w:rPr>
      </w:pPr>
    </w:p>
    <w:p>
      <w:pPr>
        <w:tabs>
          <w:tab w:val="left" w:pos="790"/>
          <w:tab w:val="left" w:pos="1264"/>
        </w:tabs>
        <w:overflowPunct w:val="0"/>
        <w:adjustRightInd w:val="0"/>
        <w:snapToGrid w:val="0"/>
        <w:spacing w:line="336" w:lineRule="auto"/>
        <w:ind w:firstLine="624"/>
        <w:rPr>
          <w:rFonts w:hAnsi="宋体"/>
          <w:szCs w:val="30"/>
        </w:rPr>
      </w:pPr>
    </w:p>
    <w:p>
      <w:pPr>
        <w:tabs>
          <w:tab w:val="left" w:pos="790"/>
          <w:tab w:val="left" w:pos="1264"/>
        </w:tabs>
        <w:overflowPunct w:val="0"/>
        <w:adjustRightInd w:val="0"/>
        <w:snapToGrid w:val="0"/>
        <w:spacing w:line="336" w:lineRule="auto"/>
        <w:ind w:right="941" w:firstLine="624"/>
        <w:jc w:val="right"/>
        <w:rPr>
          <w:rFonts w:hAnsi="宋体"/>
          <w:szCs w:val="30"/>
        </w:rPr>
      </w:pPr>
      <w:r>
        <w:rPr>
          <w:rFonts w:hint="eastAsia" w:hAnsi="宋体"/>
          <w:szCs w:val="30"/>
        </w:rPr>
        <w:t>上海市市场监督管理局</w:t>
      </w:r>
    </w:p>
    <w:p>
      <w:pPr>
        <w:tabs>
          <w:tab w:val="left" w:pos="790"/>
          <w:tab w:val="left" w:pos="1264"/>
        </w:tabs>
        <w:overflowPunct w:val="0"/>
        <w:adjustRightInd w:val="0"/>
        <w:snapToGrid w:val="0"/>
        <w:spacing w:line="336" w:lineRule="auto"/>
        <w:ind w:right="1247" w:firstLine="624"/>
        <w:jc w:val="right"/>
        <w:rPr>
          <w:rFonts w:hAnsi="宋体"/>
          <w:szCs w:val="30"/>
        </w:rPr>
      </w:pPr>
      <w:r>
        <w:rPr>
          <w:rFonts w:hint="eastAsia" w:hAnsi="宋体"/>
          <w:szCs w:val="30"/>
        </w:rPr>
        <w:t>2022年3月21日</w:t>
      </w:r>
    </w:p>
    <w:p>
      <w:pPr>
        <w:tabs>
          <w:tab w:val="left" w:pos="790"/>
          <w:tab w:val="left" w:pos="1264"/>
        </w:tabs>
        <w:overflowPunct w:val="0"/>
        <w:adjustRightInd w:val="0"/>
        <w:snapToGrid w:val="0"/>
        <w:spacing w:line="336" w:lineRule="auto"/>
        <w:ind w:firstLine="624"/>
        <w:rPr>
          <w:rFonts w:hAnsi="宋体"/>
          <w:szCs w:val="30"/>
        </w:rPr>
      </w:pPr>
      <w:r>
        <w:rPr>
          <w:rFonts w:hint="eastAsia" w:hAnsi="宋体"/>
          <w:szCs w:val="30"/>
        </w:rPr>
        <w:t>（此件公开发布）</w:t>
      </w:r>
    </w:p>
    <w:p>
      <w:pPr>
        <w:tabs>
          <w:tab w:val="left" w:pos="790"/>
          <w:tab w:val="left" w:pos="1264"/>
        </w:tabs>
        <w:overflowPunct w:val="0"/>
        <w:adjustRightInd w:val="0"/>
        <w:snapToGrid w:val="0"/>
        <w:spacing w:line="336" w:lineRule="auto"/>
        <w:ind w:firstLine="624"/>
        <w:rPr>
          <w:rFonts w:hAnsi="宋体"/>
          <w:szCs w:val="30"/>
        </w:rPr>
      </w:pPr>
    </w:p>
    <w:p>
      <w:pPr>
        <w:tabs>
          <w:tab w:val="left" w:pos="790"/>
          <w:tab w:val="left" w:pos="1264"/>
        </w:tabs>
        <w:overflowPunct w:val="0"/>
        <w:adjustRightInd w:val="0"/>
        <w:snapToGrid w:val="0"/>
        <w:spacing w:line="336" w:lineRule="auto"/>
        <w:ind w:firstLine="624"/>
        <w:rPr>
          <w:rFonts w:hAnsi="宋体"/>
          <w:szCs w:val="30"/>
        </w:rPr>
      </w:pPr>
    </w:p>
    <w:p>
      <w:pPr>
        <w:tabs>
          <w:tab w:val="left" w:pos="790"/>
          <w:tab w:val="left" w:pos="1264"/>
        </w:tabs>
        <w:overflowPunct w:val="0"/>
        <w:adjustRightInd w:val="0"/>
        <w:snapToGrid w:val="0"/>
        <w:spacing w:line="336" w:lineRule="auto"/>
        <w:ind w:firstLine="624"/>
        <w:rPr>
          <w:rFonts w:hAnsi="宋体"/>
          <w:szCs w:val="30"/>
        </w:rPr>
      </w:pPr>
    </w:p>
    <w:p>
      <w:pPr>
        <w:tabs>
          <w:tab w:val="left" w:pos="790"/>
          <w:tab w:val="left" w:pos="948"/>
        </w:tabs>
        <w:overflowPunct w:val="0"/>
        <w:adjustRightInd w:val="0"/>
        <w:snapToGrid w:val="0"/>
        <w:spacing w:line="336" w:lineRule="auto"/>
        <w:ind w:firstLine="624"/>
        <w:rPr>
          <w:rFonts w:cs="仿宋_GB2312"/>
          <w:kern w:val="0"/>
          <w:szCs w:val="32"/>
        </w:rPr>
      </w:pPr>
    </w:p>
    <w:p>
      <w:pPr>
        <w:tabs>
          <w:tab w:val="left" w:pos="790"/>
          <w:tab w:val="left" w:pos="948"/>
        </w:tabs>
        <w:overflowPunct w:val="0"/>
        <w:adjustRightInd w:val="0"/>
        <w:snapToGrid w:val="0"/>
        <w:spacing w:line="336" w:lineRule="auto"/>
        <w:ind w:firstLine="624"/>
        <w:rPr>
          <w:rFonts w:cs="仿宋_GB2312"/>
          <w:kern w:val="0"/>
          <w:szCs w:val="32"/>
        </w:rPr>
      </w:pPr>
    </w:p>
    <w:p>
      <w:pPr>
        <w:tabs>
          <w:tab w:val="left" w:pos="790"/>
          <w:tab w:val="left" w:pos="948"/>
        </w:tabs>
        <w:overflowPunct w:val="0"/>
        <w:adjustRightInd w:val="0"/>
        <w:snapToGrid w:val="0"/>
        <w:spacing w:line="336" w:lineRule="auto"/>
        <w:ind w:firstLine="624"/>
        <w:rPr>
          <w:rFonts w:cs="仿宋_GB2312"/>
          <w:kern w:val="0"/>
          <w:szCs w:val="32"/>
        </w:rPr>
      </w:pPr>
    </w:p>
    <w:p>
      <w:pPr>
        <w:tabs>
          <w:tab w:val="left" w:pos="790"/>
          <w:tab w:val="left" w:pos="948"/>
        </w:tabs>
        <w:overflowPunct w:val="0"/>
        <w:adjustRightInd w:val="0"/>
        <w:snapToGrid w:val="0"/>
        <w:spacing w:line="336" w:lineRule="auto"/>
        <w:ind w:firstLine="624"/>
        <w:rPr>
          <w:rFonts w:cs="仿宋_GB2312"/>
          <w:kern w:val="0"/>
          <w:szCs w:val="32"/>
        </w:rPr>
      </w:pPr>
    </w:p>
    <w:p>
      <w:pPr>
        <w:tabs>
          <w:tab w:val="left" w:pos="790"/>
          <w:tab w:val="left" w:pos="948"/>
        </w:tabs>
        <w:overflowPunct w:val="0"/>
        <w:adjustRightInd w:val="0"/>
        <w:snapToGrid w:val="0"/>
        <w:spacing w:line="336" w:lineRule="auto"/>
        <w:ind w:firstLine="624"/>
        <w:rPr>
          <w:rFonts w:cs="仿宋_GB2312"/>
          <w:kern w:val="0"/>
          <w:szCs w:val="32"/>
        </w:rPr>
      </w:pPr>
    </w:p>
    <w:p>
      <w:pPr>
        <w:tabs>
          <w:tab w:val="left" w:pos="790"/>
          <w:tab w:val="left" w:pos="948"/>
        </w:tabs>
        <w:overflowPunct w:val="0"/>
        <w:adjustRightInd w:val="0"/>
        <w:snapToGrid w:val="0"/>
        <w:spacing w:line="336" w:lineRule="auto"/>
        <w:ind w:firstLine="624"/>
        <w:rPr>
          <w:rFonts w:cs="仿宋_GB2312"/>
          <w:kern w:val="0"/>
          <w:szCs w:val="32"/>
        </w:rPr>
      </w:pPr>
    </w:p>
    <w:p>
      <w:pPr>
        <w:tabs>
          <w:tab w:val="left" w:pos="790"/>
          <w:tab w:val="left" w:pos="948"/>
        </w:tabs>
        <w:overflowPunct w:val="0"/>
        <w:adjustRightInd w:val="0"/>
        <w:snapToGrid w:val="0"/>
        <w:spacing w:line="336" w:lineRule="auto"/>
        <w:ind w:firstLine="624"/>
        <w:rPr>
          <w:rFonts w:cs="仿宋_GB2312"/>
          <w:kern w:val="0"/>
          <w:szCs w:val="32"/>
        </w:rPr>
      </w:pPr>
    </w:p>
    <w:p>
      <w:pPr>
        <w:tabs>
          <w:tab w:val="left" w:pos="790"/>
          <w:tab w:val="left" w:pos="948"/>
        </w:tabs>
        <w:overflowPunct w:val="0"/>
        <w:adjustRightInd w:val="0"/>
        <w:snapToGrid w:val="0"/>
        <w:spacing w:line="336" w:lineRule="auto"/>
        <w:ind w:firstLine="624"/>
        <w:rPr>
          <w:rFonts w:cs="仿宋_GB2312"/>
          <w:kern w:val="0"/>
          <w:szCs w:val="32"/>
        </w:rPr>
      </w:pPr>
    </w:p>
    <w:p>
      <w:pPr>
        <w:tabs>
          <w:tab w:val="left" w:pos="790"/>
          <w:tab w:val="left" w:pos="948"/>
        </w:tabs>
        <w:overflowPunct w:val="0"/>
        <w:adjustRightInd w:val="0"/>
        <w:snapToGrid w:val="0"/>
        <w:spacing w:line="336" w:lineRule="auto"/>
        <w:ind w:firstLine="624"/>
        <w:rPr>
          <w:rFonts w:cs="仿宋_GB2312"/>
          <w:kern w:val="0"/>
          <w:szCs w:val="32"/>
        </w:rPr>
      </w:pPr>
      <w:bookmarkStart w:id="0" w:name="_GoBack"/>
      <w:bookmarkEnd w:id="0"/>
    </w:p>
    <w:sectPr>
      <w:footerReference r:id="rId3" w:type="default"/>
      <w:footerReference r:id="rId4" w:type="even"/>
      <w:pgSz w:w="11906" w:h="16838"/>
      <w:pgMar w:top="2098" w:right="1474" w:bottom="1984" w:left="1587" w:header="851" w:footer="1417" w:gutter="0"/>
      <w:cols w:space="0" w:num="1"/>
      <w:docGrid w:type="linesAndChars" w:linePitch="579"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true"/>
  <w:bordersDoNotSurroundFooter w:val="true"/>
  <w:documentProtection w:enforcement="0"/>
  <w:defaultTabStop w:val="420"/>
  <w:evenAndOddHeaders w:val="true"/>
  <w:drawingGridHorizontalSpacing w:val="158"/>
  <w:drawingGridVerticalSpacing w:val="290"/>
  <w:displayHorizontalDrawingGridEvery w:val="2"/>
  <w:displayVerticalDrawingGridEvery w:val="2"/>
  <w:noPunctuationKerning w:val="true"/>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EA95168"/>
    <w:rsid w:val="000F5245"/>
    <w:rsid w:val="001047F1"/>
    <w:rsid w:val="00184D4A"/>
    <w:rsid w:val="001E7270"/>
    <w:rsid w:val="0023288A"/>
    <w:rsid w:val="002D6369"/>
    <w:rsid w:val="002F30E9"/>
    <w:rsid w:val="00357A3C"/>
    <w:rsid w:val="0037604E"/>
    <w:rsid w:val="003F0127"/>
    <w:rsid w:val="004335CF"/>
    <w:rsid w:val="00467749"/>
    <w:rsid w:val="004815B6"/>
    <w:rsid w:val="004D08C2"/>
    <w:rsid w:val="004E547B"/>
    <w:rsid w:val="00571C6C"/>
    <w:rsid w:val="00613F16"/>
    <w:rsid w:val="006B2EAD"/>
    <w:rsid w:val="006D157F"/>
    <w:rsid w:val="00762F83"/>
    <w:rsid w:val="007A4033"/>
    <w:rsid w:val="007C3879"/>
    <w:rsid w:val="007E2B14"/>
    <w:rsid w:val="00822215"/>
    <w:rsid w:val="00826786"/>
    <w:rsid w:val="00947BDF"/>
    <w:rsid w:val="00962E74"/>
    <w:rsid w:val="009D1625"/>
    <w:rsid w:val="00AB6E7C"/>
    <w:rsid w:val="00AF3897"/>
    <w:rsid w:val="00B22CD4"/>
    <w:rsid w:val="00BD199C"/>
    <w:rsid w:val="00BE5454"/>
    <w:rsid w:val="00BF5939"/>
    <w:rsid w:val="00D02C0F"/>
    <w:rsid w:val="00D25D43"/>
    <w:rsid w:val="00DF0217"/>
    <w:rsid w:val="00E00DA4"/>
    <w:rsid w:val="00E0582A"/>
    <w:rsid w:val="00E536DD"/>
    <w:rsid w:val="00EA3C2B"/>
    <w:rsid w:val="00F35CBF"/>
    <w:rsid w:val="00F50361"/>
    <w:rsid w:val="00FA3AEC"/>
    <w:rsid w:val="00FE4C5F"/>
    <w:rsid w:val="0A805ABD"/>
    <w:rsid w:val="0D0411BA"/>
    <w:rsid w:val="17BB0135"/>
    <w:rsid w:val="18D20472"/>
    <w:rsid w:val="33FF7942"/>
    <w:rsid w:val="36E97F1C"/>
    <w:rsid w:val="39BF365D"/>
    <w:rsid w:val="3BDE6979"/>
    <w:rsid w:val="3D230151"/>
    <w:rsid w:val="3EA95168"/>
    <w:rsid w:val="41826173"/>
    <w:rsid w:val="447D039C"/>
    <w:rsid w:val="544B01D1"/>
    <w:rsid w:val="63BEE917"/>
    <w:rsid w:val="67BD13E8"/>
    <w:rsid w:val="6E3904D6"/>
    <w:rsid w:val="6F8E3EEF"/>
    <w:rsid w:val="70344E19"/>
    <w:rsid w:val="7EF6DCA9"/>
    <w:rsid w:val="B75FA758"/>
    <w:rsid w:val="BAFF9336"/>
    <w:rsid w:val="CFCFF889"/>
    <w:rsid w:val="EE5E2E4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仿宋_GB2312" w:eastAsia="仿宋_GB2312" w:cstheme="minorBidi"/>
      <w:kern w:val="2"/>
      <w:sz w:val="32"/>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5"/>
    <w:qFormat/>
    <w:uiPriority w:val="0"/>
    <w:rPr>
      <w:sz w:val="18"/>
      <w:szCs w:val="18"/>
    </w:rPr>
  </w:style>
  <w:style w:type="paragraph" w:styleId="3">
    <w:name w:val="footer"/>
    <w:basedOn w:val="1"/>
    <w:link w:val="13"/>
    <w:qFormat/>
    <w:uiPriority w:val="0"/>
    <w:pPr>
      <w:tabs>
        <w:tab w:val="center" w:pos="4153"/>
        <w:tab w:val="right" w:pos="8306"/>
      </w:tabs>
      <w:snapToGrid w:val="0"/>
      <w:jc w:val="left"/>
    </w:pPr>
    <w:rPr>
      <w:sz w:val="18"/>
      <w:szCs w:val="18"/>
    </w:rPr>
  </w:style>
  <w:style w:type="paragraph" w:styleId="4">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widowControl/>
      <w:spacing w:before="100" w:beforeAutospacing="1" w:after="100" w:afterAutospacing="1"/>
      <w:jc w:val="left"/>
    </w:pPr>
    <w:rPr>
      <w:rFonts w:hAnsi="宋体" w:cs="宋体"/>
      <w:kern w:val="0"/>
    </w:rPr>
  </w:style>
  <w:style w:type="character" w:styleId="8">
    <w:name w:val="Strong"/>
    <w:basedOn w:val="7"/>
    <w:qFormat/>
    <w:uiPriority w:val="22"/>
    <w:rPr>
      <w:b/>
      <w:bCs/>
    </w:rPr>
  </w:style>
  <w:style w:type="character" w:styleId="9">
    <w:name w:val="FollowedHyperlink"/>
    <w:basedOn w:val="7"/>
    <w:qFormat/>
    <w:uiPriority w:val="0"/>
    <w:rPr>
      <w:color w:val="771CAA"/>
      <w:u w:val="none"/>
    </w:rPr>
  </w:style>
  <w:style w:type="character" w:styleId="10">
    <w:name w:val="Emphasis"/>
    <w:basedOn w:val="7"/>
    <w:qFormat/>
    <w:uiPriority w:val="0"/>
    <w:rPr>
      <w:color w:val="F73131"/>
    </w:rPr>
  </w:style>
  <w:style w:type="character" w:styleId="11">
    <w:name w:val="HTML Cite"/>
    <w:basedOn w:val="7"/>
    <w:qFormat/>
    <w:uiPriority w:val="0"/>
    <w:rPr>
      <w:color w:val="008000"/>
    </w:rPr>
  </w:style>
  <w:style w:type="character" w:customStyle="1" w:styleId="12">
    <w:name w:val="页眉 Char"/>
    <w:basedOn w:val="7"/>
    <w:link w:val="4"/>
    <w:qFormat/>
    <w:uiPriority w:val="0"/>
    <w:rPr>
      <w:rFonts w:asciiTheme="minorHAnsi" w:hAnsiTheme="minorHAnsi" w:eastAsiaTheme="minorEastAsia" w:cstheme="minorBidi"/>
      <w:kern w:val="2"/>
      <w:sz w:val="18"/>
      <w:szCs w:val="18"/>
    </w:rPr>
  </w:style>
  <w:style w:type="character" w:customStyle="1" w:styleId="13">
    <w:name w:val="页脚 Char"/>
    <w:basedOn w:val="7"/>
    <w:link w:val="3"/>
    <w:qFormat/>
    <w:uiPriority w:val="0"/>
    <w:rPr>
      <w:rFonts w:asciiTheme="minorHAnsi" w:hAnsiTheme="minorHAnsi" w:eastAsiaTheme="minorEastAsia" w:cstheme="minorBidi"/>
      <w:kern w:val="2"/>
      <w:sz w:val="18"/>
      <w:szCs w:val="18"/>
    </w:rPr>
  </w:style>
  <w:style w:type="paragraph" w:styleId="14">
    <w:name w:val="List Paragraph"/>
    <w:basedOn w:val="1"/>
    <w:qFormat/>
    <w:uiPriority w:val="99"/>
    <w:pPr>
      <w:ind w:firstLine="420" w:firstLineChars="200"/>
    </w:pPr>
  </w:style>
  <w:style w:type="character" w:customStyle="1" w:styleId="15">
    <w:name w:val="批注框文本 Char"/>
    <w:basedOn w:val="7"/>
    <w:link w:val="2"/>
    <w:qFormat/>
    <w:uiPriority w:val="0"/>
    <w:rPr>
      <w:rFonts w:asciiTheme="minorHAnsi" w:hAnsiTheme="minorHAnsi" w:eastAsiaTheme="minorEastAsia" w:cstheme="minorBidi"/>
      <w:kern w:val="2"/>
      <w:sz w:val="18"/>
      <w:szCs w:val="18"/>
    </w:rPr>
  </w:style>
  <w:style w:type="character" w:customStyle="1" w:styleId="16">
    <w:name w:val="c-icon27"/>
    <w:basedOn w:val="7"/>
    <w:qFormat/>
    <w:uiPriority w:val="0"/>
  </w:style>
  <w:style w:type="character" w:customStyle="1" w:styleId="17">
    <w:name w:val="hover24"/>
    <w:basedOn w:val="7"/>
    <w:qFormat/>
    <w:uiPriority w:val="0"/>
    <w:rPr>
      <w:color w:val="315EFB"/>
    </w:rPr>
  </w:style>
  <w:style w:type="character" w:customStyle="1" w:styleId="18">
    <w:name w:val="hover25"/>
    <w:basedOn w:val="7"/>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24</Pages>
  <Words>6688</Words>
  <Characters>1147</Characters>
  <Lines>9</Lines>
  <Paragraphs>15</Paragraphs>
  <TotalTime>11</TotalTime>
  <ScaleCrop>false</ScaleCrop>
  <LinksUpToDate>false</LinksUpToDate>
  <CharactersWithSpaces>7820</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2021-12-29T10:48:00Z</dcterms:created>
  <dc:creator>yuanyang</dc:creator>
  <cp:lastModifiedBy>scjuser</cp:lastModifiedBy>
  <cp:lastPrinted>2022-03-23T22:18:00Z</cp:lastPrinted>
  <dcterms:modified xsi:type="dcterms:W3CDTF">2025-11-17T14:11:44Z</dcterms:modified>
  <dc:title>上海市市场监督管理局</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150E3E7F658E468DAA39444E61E4DE49</vt:lpwstr>
  </property>
</Properties>
</file>