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s>
        <w:overflowPunct w:val="0"/>
        <w:adjustRightInd w:val="0"/>
        <w:snapToGrid w:val="0"/>
        <w:jc w:val="center"/>
        <w:rPr>
          <w:rFonts w:ascii="方正小标宋简体" w:hAnsi="宋体" w:eastAsia="方正小标宋简体"/>
          <w:kern w:val="0"/>
          <w:sz w:val="44"/>
          <w:szCs w:val="44"/>
        </w:rPr>
      </w:pPr>
      <w:r>
        <w:rPr>
          <w:rFonts w:hint="eastAsia" w:ascii="方正小标宋简体" w:hAnsi="宋体" w:eastAsia="方正小标宋简体"/>
          <w:kern w:val="0"/>
          <w:sz w:val="44"/>
          <w:szCs w:val="44"/>
        </w:rPr>
        <w:t>上海市市场监督管理局</w:t>
      </w:r>
    </w:p>
    <w:p>
      <w:pPr>
        <w:tabs>
          <w:tab w:val="left" w:pos="790"/>
        </w:tabs>
        <w:overflowPunct w:val="0"/>
        <w:adjustRightInd w:val="0"/>
        <w:snapToGrid w:val="0"/>
        <w:jc w:val="center"/>
        <w:rPr>
          <w:rFonts w:ascii="方正小标宋简体" w:hAnsi="宋体" w:eastAsia="方正小标宋简体"/>
          <w:kern w:val="0"/>
          <w:sz w:val="44"/>
          <w:szCs w:val="44"/>
        </w:rPr>
      </w:pPr>
      <w:r>
        <w:rPr>
          <w:rFonts w:hint="eastAsia" w:ascii="方正小标宋简体" w:hAnsi="宋体" w:eastAsia="方正小标宋简体"/>
          <w:spacing w:val="26"/>
          <w:kern w:val="0"/>
          <w:sz w:val="44"/>
          <w:szCs w:val="44"/>
        </w:rPr>
        <w:t>行政审批告知承诺</w:t>
      </w:r>
      <w:r>
        <w:rPr>
          <w:rFonts w:hint="eastAsia" w:ascii="方正小标宋简体" w:hAnsi="宋体" w:eastAsia="方正小标宋简体"/>
          <w:kern w:val="0"/>
          <w:sz w:val="44"/>
          <w:szCs w:val="44"/>
        </w:rPr>
        <w:t>书</w:t>
      </w:r>
    </w:p>
    <w:p>
      <w:pPr>
        <w:tabs>
          <w:tab w:val="left" w:pos="790"/>
          <w:tab w:val="left" w:pos="948"/>
        </w:tabs>
        <w:overflowPunct w:val="0"/>
        <w:adjustRightInd w:val="0"/>
        <w:snapToGrid w:val="0"/>
        <w:spacing w:before="120"/>
        <w:jc w:val="center"/>
        <w:rPr>
          <w:rFonts w:ascii="楷体_GB2312" w:hAnsi="宋体" w:eastAsia="楷体_GB2312"/>
          <w:kern w:val="0"/>
          <w:szCs w:val="30"/>
        </w:rPr>
      </w:pPr>
      <w:r>
        <w:rPr>
          <w:rFonts w:hint="eastAsia" w:ascii="楷体_GB2312" w:hAnsi="宋体" w:eastAsia="楷体_GB2312"/>
          <w:kern w:val="0"/>
          <w:szCs w:val="30"/>
        </w:rPr>
        <w:t>（承担国家法定计量检定机构任务的授权）</w:t>
      </w:r>
    </w:p>
    <w:p>
      <w:pPr>
        <w:tabs>
          <w:tab w:val="left" w:pos="790"/>
          <w:tab w:val="left" w:pos="948"/>
        </w:tabs>
        <w:overflowPunct w:val="0"/>
        <w:adjustRightInd w:val="0"/>
        <w:snapToGrid w:val="0"/>
        <w:spacing w:before="120"/>
        <w:jc w:val="right"/>
        <w:rPr>
          <w:rFonts w:hAnsi="宋体"/>
          <w:kern w:val="0"/>
          <w:szCs w:val="30"/>
        </w:rPr>
      </w:pPr>
      <w:r>
        <w:rPr>
          <w:rFonts w:hint="eastAsia" w:hAnsi="宋体"/>
          <w:kern w:val="0"/>
          <w:szCs w:val="30"/>
        </w:rPr>
        <w:t>〔</w:t>
      </w:r>
      <w:r>
        <w:rPr>
          <w:rFonts w:hint="eastAsia" w:hAnsi="宋体"/>
          <w:kern w:val="0"/>
          <w:szCs w:val="30"/>
          <w:u w:val="single"/>
        </w:rPr>
        <w:t>　　　　</w:t>
      </w:r>
      <w:r>
        <w:rPr>
          <w:rFonts w:hint="eastAsia" w:hAnsi="宋体"/>
          <w:kern w:val="0"/>
          <w:szCs w:val="30"/>
        </w:rPr>
        <w:t>年〕第</w:t>
      </w:r>
      <w:r>
        <w:rPr>
          <w:rFonts w:hint="eastAsia" w:hAnsi="宋体"/>
          <w:kern w:val="0"/>
          <w:szCs w:val="30"/>
          <w:u w:val="single"/>
        </w:rPr>
        <w:t>　　</w:t>
      </w:r>
      <w:r>
        <w:rPr>
          <w:rFonts w:hint="eastAsia" w:hAnsi="宋体"/>
          <w:kern w:val="0"/>
          <w:szCs w:val="30"/>
        </w:rPr>
        <w:t>号</w:t>
      </w:r>
    </w:p>
    <w:p>
      <w:pPr>
        <w:shd w:val="clear" w:color="auto" w:fill="FFFFFF"/>
        <w:adjustRightInd w:val="0"/>
        <w:snapToGrid w:val="0"/>
        <w:spacing w:line="360" w:lineRule="auto"/>
        <w:ind w:left="1134"/>
        <w:rPr>
          <w:rFonts w:ascii="黑体" w:hAnsi="宋体" w:eastAsia="黑体" w:cs="宋体"/>
          <w:color w:val="000000"/>
          <w:kern w:val="0"/>
          <w:sz w:val="28"/>
          <w:szCs w:val="28"/>
        </w:rPr>
      </w:pPr>
      <w:r>
        <w:rPr>
          <w:rFonts w:hint="eastAsia" w:ascii="黑体" w:hAnsi="宋体" w:eastAsia="黑体" w:cs="宋体"/>
          <w:color w:val="000000"/>
          <w:kern w:val="0"/>
          <w:sz w:val="28"/>
          <w:szCs w:val="28"/>
        </w:rPr>
        <w:t>申请告知承诺事项类型</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○新办；</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○延续（复查）；</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○依申请变更；</w:t>
      </w:r>
    </w:p>
    <w:p>
      <w:pPr>
        <w:shd w:val="clear" w:color="auto" w:fill="FFFFFF"/>
        <w:adjustRightInd w:val="0"/>
        <w:snapToGrid w:val="0"/>
        <w:spacing w:line="360" w:lineRule="auto"/>
        <w:ind w:left="1134"/>
        <w:rPr>
          <w:rFonts w:hAnsi="宋体" w:cs="宋体"/>
          <w:color w:val="000000"/>
          <w:kern w:val="0"/>
          <w:sz w:val="28"/>
          <w:szCs w:val="28"/>
        </w:rPr>
      </w:pPr>
      <w:r>
        <w:rPr>
          <w:rFonts w:hint="eastAsia" w:hAnsi="宋体" w:cs="宋体"/>
          <w:color w:val="000000"/>
          <w:kern w:val="0"/>
          <w:sz w:val="28"/>
          <w:szCs w:val="28"/>
        </w:rPr>
        <w:t>○增项</w:t>
      </w:r>
    </w:p>
    <w:p>
      <w:pPr>
        <w:tabs>
          <w:tab w:val="left" w:pos="790"/>
          <w:tab w:val="left" w:pos="948"/>
          <w:tab w:val="left" w:pos="7655"/>
        </w:tabs>
        <w:overflowPunct w:val="0"/>
        <w:adjustRightInd w:val="0"/>
        <w:snapToGrid w:val="0"/>
        <w:spacing w:line="336" w:lineRule="auto"/>
        <w:ind w:left="1134"/>
        <w:rPr>
          <w:rFonts w:ascii="黑体" w:hAnsi="黑体" w:eastAsia="黑体"/>
          <w:kern w:val="0"/>
          <w:szCs w:val="30"/>
        </w:rPr>
      </w:pPr>
    </w:p>
    <w:p>
      <w:pPr>
        <w:tabs>
          <w:tab w:val="left" w:pos="790"/>
          <w:tab w:val="left" w:pos="948"/>
          <w:tab w:val="left" w:pos="7655"/>
        </w:tabs>
        <w:overflowPunct w:val="0"/>
        <w:adjustRightInd w:val="0"/>
        <w:snapToGrid w:val="0"/>
        <w:spacing w:line="336" w:lineRule="auto"/>
        <w:ind w:left="1134"/>
        <w:rPr>
          <w:rFonts w:ascii="黑体" w:hAnsi="黑体" w:eastAsia="黑体"/>
          <w:kern w:val="0"/>
          <w:sz w:val="28"/>
          <w:szCs w:val="30"/>
        </w:rPr>
      </w:pPr>
      <w:r>
        <w:rPr>
          <w:rFonts w:hint="eastAsia" w:ascii="黑体" w:hAnsi="黑体" w:eastAsia="黑体"/>
          <w:kern w:val="0"/>
          <w:sz w:val="28"/>
          <w:szCs w:val="30"/>
        </w:rPr>
        <w:t>申请人基本情况</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单位名称：</w:t>
      </w:r>
      <w:r>
        <w:rPr>
          <w:rFonts w:hint="eastAsia" w:hAnsi="宋体"/>
          <w:kern w:val="0"/>
          <w:sz w:val="28"/>
          <w:szCs w:val="30"/>
          <w:u w:val="single"/>
        </w:rPr>
        <w:t>　　　　　</w:t>
      </w:r>
      <w:r>
        <w:rPr>
          <w:rFonts w:hint="eastAsia" w:hAnsi="宋体"/>
          <w:kern w:val="0"/>
          <w:sz w:val="28"/>
          <w:szCs w:val="30"/>
          <w:u w:val="single"/>
          <w:lang w:val="en-US" w:eastAsia="zh-CN"/>
        </w:rPr>
        <w:t>AA公司</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法定代表人：</w:t>
      </w:r>
      <w:r>
        <w:rPr>
          <w:rFonts w:hint="eastAsia" w:hAnsi="宋体"/>
          <w:kern w:val="0"/>
          <w:sz w:val="28"/>
          <w:szCs w:val="30"/>
          <w:u w:val="single"/>
        </w:rPr>
        <w:t>　　　　　</w:t>
      </w:r>
      <w:r>
        <w:rPr>
          <w:rFonts w:hint="eastAsia" w:hAnsi="宋体"/>
          <w:kern w:val="0"/>
          <w:sz w:val="28"/>
          <w:szCs w:val="30"/>
          <w:u w:val="single"/>
          <w:lang w:val="en-US" w:eastAsia="zh-CN"/>
        </w:rPr>
        <w:t>BB</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注册地址：</w:t>
      </w:r>
      <w:r>
        <w:rPr>
          <w:rFonts w:hint="eastAsia" w:hAnsi="宋体"/>
          <w:kern w:val="0"/>
          <w:sz w:val="28"/>
          <w:szCs w:val="30"/>
          <w:u w:val="single"/>
        </w:rPr>
        <w:t>　　　　　　</w:t>
      </w:r>
      <w:r>
        <w:rPr>
          <w:rFonts w:hint="eastAsia" w:hAnsi="宋体"/>
          <w:kern w:val="0"/>
          <w:sz w:val="28"/>
          <w:szCs w:val="30"/>
          <w:u w:val="single"/>
          <w:lang w:val="en-US" w:eastAsia="zh-CN"/>
        </w:rPr>
        <w:t>CC</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r>
        <w:rPr>
          <w:rFonts w:hint="eastAsia" w:hAnsi="宋体"/>
          <w:kern w:val="0"/>
          <w:sz w:val="28"/>
          <w:szCs w:val="30"/>
          <w:u w:val="single"/>
          <w:lang w:val="en-US" w:eastAsia="zh-CN"/>
        </w:rPr>
        <w:t>021-********</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委托代理人：</w:t>
      </w:r>
      <w:r>
        <w:rPr>
          <w:rFonts w:hint="eastAsia" w:hAnsi="宋体"/>
          <w:kern w:val="0"/>
          <w:sz w:val="28"/>
          <w:szCs w:val="30"/>
          <w:u w:val="single"/>
        </w:rPr>
        <w:t>　　　　　</w:t>
      </w:r>
      <w:r>
        <w:rPr>
          <w:rFonts w:hint="eastAsia" w:hAnsi="宋体"/>
          <w:kern w:val="0"/>
          <w:sz w:val="28"/>
          <w:szCs w:val="30"/>
          <w:u w:val="single"/>
          <w:lang w:val="en-US" w:eastAsia="zh-CN"/>
        </w:rPr>
        <w:t>DD</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证件类型：</w:t>
      </w:r>
      <w:r>
        <w:rPr>
          <w:rFonts w:hint="eastAsia" w:hAnsi="宋体"/>
          <w:kern w:val="0"/>
          <w:sz w:val="28"/>
          <w:szCs w:val="30"/>
          <w:u w:val="single"/>
        </w:rPr>
        <w:t>　　</w:t>
      </w:r>
      <w:r>
        <w:rPr>
          <w:rFonts w:hint="eastAsia" w:hAnsi="宋体"/>
          <w:kern w:val="0"/>
          <w:sz w:val="28"/>
          <w:szCs w:val="30"/>
          <w:u w:val="single"/>
          <w:lang w:val="en-US" w:eastAsia="zh-CN"/>
        </w:rPr>
        <w:t>******************</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编　　号：</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联系方式：</w:t>
      </w:r>
      <w:r>
        <w:rPr>
          <w:rFonts w:hint="eastAsia" w:hAnsi="宋体"/>
          <w:kern w:val="0"/>
          <w:sz w:val="28"/>
          <w:szCs w:val="30"/>
          <w:u w:val="single"/>
        </w:rPr>
        <w:t>　　　　　　</w:t>
      </w:r>
      <w:r>
        <w:rPr>
          <w:rFonts w:hint="eastAsia" w:hAnsi="宋体"/>
          <w:kern w:val="0"/>
          <w:sz w:val="28"/>
          <w:szCs w:val="30"/>
          <w:u w:val="single"/>
          <w:lang w:val="en-US" w:eastAsia="zh-CN"/>
        </w:rPr>
        <w:t>021-********</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 w:val="28"/>
          <w:szCs w:val="30"/>
        </w:rPr>
      </w:pPr>
      <w:bookmarkStart w:id="0" w:name="_GoBack"/>
      <w:bookmarkEnd w:id="0"/>
    </w:p>
    <w:p>
      <w:pPr>
        <w:tabs>
          <w:tab w:val="left" w:pos="790"/>
          <w:tab w:val="left" w:pos="948"/>
        </w:tabs>
        <w:overflowPunct w:val="0"/>
        <w:adjustRightInd w:val="0"/>
        <w:snapToGrid w:val="0"/>
        <w:spacing w:line="336" w:lineRule="auto"/>
        <w:ind w:left="1134"/>
        <w:rPr>
          <w:rFonts w:hAnsi="宋体"/>
          <w:kern w:val="0"/>
          <w:sz w:val="28"/>
          <w:szCs w:val="30"/>
        </w:rPr>
      </w:pPr>
      <w:r>
        <w:rPr>
          <w:rFonts w:hint="eastAsia" w:ascii="黑体" w:hAnsi="黑体" w:eastAsia="黑体"/>
          <w:kern w:val="0"/>
          <w:sz w:val="28"/>
          <w:szCs w:val="30"/>
        </w:rPr>
        <w:t>行政审批机关</w:t>
      </w:r>
      <w:r>
        <w:rPr>
          <w:rFonts w:hint="eastAsia" w:hAnsi="宋体"/>
          <w:kern w:val="0"/>
          <w:sz w:val="28"/>
          <w:szCs w:val="30"/>
        </w:rPr>
        <w:t>：上海市市场监督管理局</w:t>
      </w:r>
    </w:p>
    <w:p>
      <w:pPr>
        <w:tabs>
          <w:tab w:val="left" w:pos="790"/>
          <w:tab w:val="left" w:pos="948"/>
        </w:tabs>
        <w:overflowPunct w:val="0"/>
        <w:adjustRightInd w:val="0"/>
        <w:snapToGrid w:val="0"/>
        <w:spacing w:line="336" w:lineRule="auto"/>
        <w:ind w:left="1134"/>
        <w:rPr>
          <w:rFonts w:hAnsi="宋体"/>
          <w:kern w:val="0"/>
          <w:sz w:val="28"/>
          <w:szCs w:val="30"/>
        </w:rPr>
      </w:pPr>
      <w:r>
        <w:rPr>
          <w:rFonts w:hint="eastAsia" w:hAnsi="宋体"/>
          <w:kern w:val="0"/>
          <w:sz w:val="28"/>
          <w:szCs w:val="30"/>
        </w:rPr>
        <w:t>联系人姓名：</w:t>
      </w:r>
      <w:r>
        <w:rPr>
          <w:rFonts w:hint="eastAsia" w:hAnsi="宋体"/>
          <w:kern w:val="0"/>
          <w:sz w:val="28"/>
          <w:szCs w:val="30"/>
          <w:u w:val="single"/>
        </w:rPr>
        <w:t>　　　　　　　　　　　　　　　</w:t>
      </w:r>
    </w:p>
    <w:p>
      <w:pPr>
        <w:tabs>
          <w:tab w:val="left" w:pos="790"/>
          <w:tab w:val="left" w:pos="948"/>
        </w:tabs>
        <w:overflowPunct w:val="0"/>
        <w:adjustRightInd w:val="0"/>
        <w:snapToGrid w:val="0"/>
        <w:spacing w:line="336" w:lineRule="auto"/>
        <w:ind w:left="1134"/>
        <w:rPr>
          <w:rFonts w:hAnsi="宋体"/>
          <w:kern w:val="0"/>
          <w:szCs w:val="30"/>
        </w:rPr>
      </w:pPr>
      <w:r>
        <w:rPr>
          <w:rFonts w:hint="eastAsia" w:hAnsi="宋体"/>
          <w:kern w:val="0"/>
          <w:sz w:val="28"/>
          <w:szCs w:val="30"/>
        </w:rPr>
        <w:t>联系方式：</w:t>
      </w:r>
      <w:r>
        <w:rPr>
          <w:rFonts w:hint="eastAsia" w:hAnsi="宋体"/>
          <w:kern w:val="0"/>
          <w:sz w:val="28"/>
          <w:szCs w:val="30"/>
          <w:u w:val="single"/>
        </w:rPr>
        <w:t>　　　　　　　　　　　　　　　　</w:t>
      </w:r>
    </w:p>
    <w:p>
      <w:pPr>
        <w:tabs>
          <w:tab w:val="left" w:pos="790"/>
        </w:tabs>
        <w:overflowPunct w:val="0"/>
        <w:adjustRightInd w:val="0"/>
        <w:snapToGrid w:val="0"/>
        <w:jc w:val="center"/>
        <w:rPr>
          <w:rFonts w:ascii="方正小标宋简体" w:hAnsi="宋体" w:eastAsia="方正小标宋简体"/>
          <w:kern w:val="0"/>
          <w:sz w:val="44"/>
          <w:szCs w:val="44"/>
        </w:rPr>
      </w:pPr>
    </w:p>
    <w:p>
      <w:pPr>
        <w:tabs>
          <w:tab w:val="left" w:pos="790"/>
        </w:tabs>
        <w:overflowPunct w:val="0"/>
        <w:adjustRightInd w:val="0"/>
        <w:snapToGrid w:val="0"/>
        <w:jc w:val="center"/>
        <w:rPr>
          <w:rFonts w:ascii="方正小标宋简体" w:hAnsi="宋体" w:eastAsia="方正小标宋简体"/>
          <w:kern w:val="0"/>
          <w:sz w:val="44"/>
          <w:szCs w:val="44"/>
        </w:rPr>
      </w:pPr>
      <w:r>
        <w:rPr>
          <w:rFonts w:hint="eastAsia" w:ascii="方正小标宋简体" w:hAnsi="宋体" w:eastAsia="方正小标宋简体"/>
          <w:kern w:val="0"/>
          <w:sz w:val="44"/>
          <w:szCs w:val="44"/>
        </w:rPr>
        <w:t>行政审批机关的告知</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按照《上海市行政审批告知承诺管理办法》，本行政审批机关就行政审批事项告知如下：</w:t>
      </w:r>
    </w:p>
    <w:p>
      <w:pPr>
        <w:tabs>
          <w:tab w:val="left" w:pos="790"/>
          <w:tab w:val="left" w:pos="1264"/>
        </w:tabs>
        <w:overflowPunct w:val="0"/>
        <w:adjustRightInd w:val="0"/>
        <w:snapToGrid w:val="0"/>
        <w:spacing w:line="336" w:lineRule="auto"/>
        <w:ind w:firstLine="624"/>
        <w:rPr>
          <w:rFonts w:ascii="黑体" w:hAnsi="黑体" w:eastAsia="黑体"/>
          <w:kern w:val="0"/>
          <w:szCs w:val="30"/>
        </w:rPr>
      </w:pPr>
      <w:r>
        <w:rPr>
          <w:rFonts w:hint="eastAsia" w:ascii="黑体" w:hAnsi="黑体" w:eastAsia="黑体"/>
          <w:kern w:val="0"/>
          <w:szCs w:val="30"/>
        </w:rPr>
        <w:t>一、审批依据</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本行政审批事项的依据为：</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中华人民共和国计量法》（2018年全国人大常委会第六次会议《关于修改〈中华人民共和国野生动物保护法〉等十五部法律的决定》第五次修正）第二十条:县级以上人民政府计量行政部门可以根据需要设置计量检定机构，或者授权其他单位的计量检定机构，执行强制检定和其他检定、测试任务。</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2．《中华人民共和国计量法实施细则》（根据2018年3月19日《国务院关于修改和废止部分行政法规的决定》第三次修正）第二十七条：县级以上人民政府计量行政部门可以根据需要，采取以下形式授权其他单位的计量检定机构和技术机构，在规定的范围内执行强制检定和其他检定、测试任务：</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（一）授权专业性或区域性计量检定机构，作为法定计量检定机构；</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（二）授权建立社会公用计量标准；</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（三）授权某一部门或某一单位的计量检定机构，对其内部使用的强制检定计量器具执行强制检定；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（四）授权有关技术机构，承担法律规定的其他检定、测试任务。</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第二十八条  根据本细则第二十七条规定被授权的单位，应当遵守下列规定：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（一）被授权单位执行检定、测试任务的人员，必须经考核合格；</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（二）被授权单位的相应计量标准，必须接受计量基准或者社会公用计量标准的检定；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（三）被授权单位承担授权的检定、测试工作，须接受授权单位的监督；</w:t>
      </w:r>
    </w:p>
    <w:p>
      <w:pPr>
        <w:tabs>
          <w:tab w:val="left" w:pos="790"/>
          <w:tab w:val="left" w:pos="1264"/>
        </w:tabs>
        <w:overflowPunct w:val="0"/>
        <w:adjustRightInd w:val="0"/>
        <w:snapToGrid w:val="0"/>
        <w:spacing w:line="336" w:lineRule="auto"/>
        <w:ind w:firstLine="624"/>
        <w:rPr>
          <w:rFonts w:hint="eastAsia" w:hAnsi="宋体"/>
          <w:kern w:val="0"/>
          <w:szCs w:val="30"/>
        </w:rPr>
      </w:pPr>
      <w:r>
        <w:rPr>
          <w:rFonts w:hint="eastAsia" w:hAnsi="宋体"/>
          <w:kern w:val="0"/>
          <w:szCs w:val="30"/>
        </w:rPr>
        <w:t>（四）被授权单位成为计量纠纷中当事人一方时，在双方协商不能自行解决的情况下，由县级以上有关人民政府计量行政部门进行调解和仲裁检定。</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3. 《法定计量检定机构监督管理办法》第五条  申请作为法定计量检定机构应当具备以下条件：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（一）具有法人资格；或者有独立建制，其负责人应当有法人代表的委托书，能独立公正地开展工作；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（二）在申请开展的项目上有相应的技术水平和计量管理能力；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（三）有与其申请开展的项目相适应的计量基、标准装置和配套设备；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（四）有与其申请开展的项目相适应的计量检定人员和计量管理人员；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（五）有能保证申请开展的项目正常进行的工作环境和设施；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 xml:space="preserve">（六）有相应的质量保证体系。 </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第七条　省级质量技术监督部门负责受理本行政区域内下列计量检定机构的考核申请并组织考核：</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(一)省级质量技术监督部门依法设置的省级以下(不含省级，下同)计量检定机构；</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(二)省级质量技术监督部门授权建立的计量检定机构。</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省级以下质量技术监督部门授权建立的计量检定机构，由当地省级质量技术监督部门根据实际情况确定受理考核申请和组织考核的质量技术监督部门。</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第八条　计量检定机构的考核或者法定计量检定机构的复查考核按照国家计量技术规范《法定计量检定机构考核规范》的规定执行。</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第九条　计量检定机构的考核或者法定计量检定机构的复查考核由组织考核的质量技术监督部门指派法定计量检定机构考评员和特邀专家承担。</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第十条　经考核合格的计量检定机构由组织考核的质量技术监督部门批准并颁发计量授权证书。</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经考核不合格的，应当进行整改，整改期为三个月；整改后考核仍不合格的，不得开展申请授权项目的工作。</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4．《法定计量检定机构考核规范》（JJF 1069—2012）。</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5．《上海市行政审批告知承诺管理办法》。</w:t>
      </w:r>
    </w:p>
    <w:p>
      <w:pPr>
        <w:tabs>
          <w:tab w:val="left" w:pos="790"/>
          <w:tab w:val="left" w:pos="1264"/>
        </w:tabs>
        <w:overflowPunct w:val="0"/>
        <w:adjustRightInd w:val="0"/>
        <w:snapToGrid w:val="0"/>
        <w:spacing w:line="336" w:lineRule="auto"/>
        <w:ind w:firstLine="624"/>
        <w:rPr>
          <w:rFonts w:ascii="黑体" w:hAnsi="黑体" w:eastAsia="黑体"/>
          <w:kern w:val="0"/>
          <w:szCs w:val="30"/>
        </w:rPr>
      </w:pPr>
      <w:r>
        <w:rPr>
          <w:rFonts w:hint="eastAsia" w:ascii="黑体" w:hAnsi="黑体" w:eastAsia="黑体"/>
          <w:kern w:val="0"/>
          <w:szCs w:val="30"/>
        </w:rPr>
        <w:t>二、法定条件</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本行政审批事项获得批准应当具备下列条件、标准和技术要求：</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申请机构应当符合《中华人民共和国计量法实施细则》第二十八条和《法定计量检定机构监督管理办法》第五条的条件。</w:t>
      </w:r>
    </w:p>
    <w:p>
      <w:pPr>
        <w:tabs>
          <w:tab w:val="left" w:pos="790"/>
          <w:tab w:val="left" w:pos="1264"/>
        </w:tabs>
        <w:overflowPunct w:val="0"/>
        <w:adjustRightInd w:val="0"/>
        <w:snapToGrid w:val="0"/>
        <w:spacing w:line="336" w:lineRule="auto"/>
        <w:ind w:firstLine="624"/>
        <w:rPr>
          <w:rFonts w:ascii="黑体" w:hAnsi="黑体" w:eastAsia="黑体"/>
          <w:kern w:val="0"/>
          <w:szCs w:val="30"/>
        </w:rPr>
      </w:pPr>
      <w:r>
        <w:rPr>
          <w:rFonts w:hint="eastAsia" w:ascii="黑体" w:hAnsi="黑体" w:eastAsia="黑体"/>
          <w:kern w:val="0"/>
          <w:szCs w:val="30"/>
        </w:rPr>
        <w:t>三、应当提交的材料</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根据审批依据和法定条件，本行政审批事项获得批准，申请人应当根据申请类型提交下列材料：</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rPr>
      </w:pPr>
      <w:r>
        <w:rPr>
          <w:rFonts w:hint="eastAsia" w:ascii="楷体_GB2312" w:hAnsi="宋体" w:eastAsia="楷体_GB2312"/>
          <w:kern w:val="0"/>
          <w:szCs w:val="30"/>
        </w:rPr>
        <w:t>（一）新办、延续（复查）申请材料目录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w:t>
      </w:r>
      <w:r>
        <w:rPr>
          <w:rFonts w:hint="eastAsia" w:hAnsi="宋体"/>
          <w:kern w:val="0"/>
          <w:sz w:val="28"/>
          <w:szCs w:val="28"/>
        </w:rPr>
        <w:t>．</w:t>
      </w:r>
      <w:r>
        <w:rPr>
          <w:rFonts w:hint="eastAsia" w:hAnsi="宋体"/>
          <w:kern w:val="0"/>
          <w:szCs w:val="32"/>
        </w:rPr>
        <w:t>《</w:t>
      </w:r>
      <w:r>
        <w:rPr>
          <w:rFonts w:hint="eastAsia" w:hAnsi="宋体"/>
          <w:kern w:val="0"/>
          <w:szCs w:val="30"/>
        </w:rPr>
        <w:t>法定计量检定机构考核申请书</w:t>
      </w:r>
      <w:r>
        <w:rPr>
          <w:rFonts w:hint="eastAsia" w:hAnsi="宋体"/>
          <w:kern w:val="0"/>
          <w:szCs w:val="32"/>
        </w:rPr>
        <w:t>》（包含</w:t>
      </w:r>
      <w:r>
        <w:rPr>
          <w:rFonts w:hint="eastAsia" w:hAnsi="宋体"/>
          <w:kern w:val="0"/>
          <w:szCs w:val="30"/>
        </w:rPr>
        <w:t>考核规范与管理体系文件对照检查表、考核项目表、证书报告签发人员一览表、证书报告签发人员考核记录</w:t>
      </w:r>
      <w:r>
        <w:rPr>
          <w:rFonts w:hint="eastAsia" w:hAnsi="宋体"/>
          <w:kern w:val="0"/>
          <w:szCs w:val="32"/>
        </w:rPr>
        <w:t>）</w:t>
      </w:r>
      <w:r>
        <w:rPr>
          <w:rFonts w:hint="eastAsia" w:hAnsi="宋体"/>
          <w:kern w:val="0"/>
          <w:szCs w:val="30"/>
        </w:rPr>
        <w:t>；</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2．《告知承诺书》。</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rPr>
      </w:pPr>
      <w:r>
        <w:rPr>
          <w:rFonts w:hint="eastAsia" w:ascii="楷体_GB2312" w:hAnsi="宋体" w:eastAsia="楷体_GB2312"/>
          <w:kern w:val="0"/>
          <w:szCs w:val="30"/>
        </w:rPr>
        <w:t>（二）依申请变更申请材料目录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w:t>
      </w:r>
      <w:r>
        <w:rPr>
          <w:rFonts w:hint="eastAsia" w:hAnsi="宋体"/>
          <w:kern w:val="0"/>
          <w:sz w:val="28"/>
          <w:szCs w:val="28"/>
        </w:rPr>
        <w:t>．</w:t>
      </w:r>
      <w:r>
        <w:rPr>
          <w:rFonts w:hint="eastAsia" w:hAnsi="宋体"/>
          <w:kern w:val="0"/>
          <w:szCs w:val="32"/>
        </w:rPr>
        <w:t>《</w:t>
      </w:r>
      <w:r>
        <w:rPr>
          <w:rFonts w:hint="eastAsia" w:hAnsi="宋体"/>
          <w:kern w:val="0"/>
          <w:szCs w:val="30"/>
        </w:rPr>
        <w:t>变更申请书</w:t>
      </w:r>
      <w:r>
        <w:rPr>
          <w:rFonts w:hint="eastAsia" w:hAnsi="宋体"/>
          <w:kern w:val="0"/>
          <w:szCs w:val="32"/>
        </w:rPr>
        <w:t>》</w:t>
      </w:r>
      <w:r>
        <w:rPr>
          <w:rFonts w:hint="eastAsia" w:hAnsi="宋体"/>
          <w:kern w:val="0"/>
          <w:szCs w:val="30"/>
        </w:rPr>
        <w:t>；</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2．《告知承诺书》。</w:t>
      </w:r>
    </w:p>
    <w:p>
      <w:pPr>
        <w:tabs>
          <w:tab w:val="left" w:pos="790"/>
          <w:tab w:val="left" w:pos="1264"/>
        </w:tabs>
        <w:overflowPunct w:val="0"/>
        <w:adjustRightInd w:val="0"/>
        <w:snapToGrid w:val="0"/>
        <w:spacing w:line="336" w:lineRule="auto"/>
        <w:ind w:firstLine="624"/>
        <w:rPr>
          <w:rFonts w:ascii="楷体_GB2312" w:hAnsi="宋体" w:eastAsia="楷体_GB2312"/>
          <w:kern w:val="0"/>
          <w:szCs w:val="30"/>
        </w:rPr>
      </w:pPr>
      <w:r>
        <w:rPr>
          <w:rFonts w:hint="eastAsia" w:ascii="楷体_GB2312" w:hAnsi="宋体" w:eastAsia="楷体_GB2312"/>
          <w:kern w:val="0"/>
          <w:szCs w:val="30"/>
        </w:rPr>
        <w:t>（三）增项申请材料目录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1</w:t>
      </w:r>
      <w:r>
        <w:rPr>
          <w:rFonts w:hint="eastAsia" w:hAnsi="宋体"/>
          <w:kern w:val="0"/>
          <w:sz w:val="28"/>
          <w:szCs w:val="28"/>
        </w:rPr>
        <w:t>．</w:t>
      </w:r>
      <w:r>
        <w:rPr>
          <w:rFonts w:hint="eastAsia" w:hAnsi="宋体"/>
          <w:kern w:val="0"/>
          <w:szCs w:val="32"/>
        </w:rPr>
        <w:t>《</w:t>
      </w:r>
      <w:r>
        <w:rPr>
          <w:rFonts w:hint="eastAsia" w:hAnsi="宋体"/>
          <w:kern w:val="0"/>
          <w:szCs w:val="30"/>
        </w:rPr>
        <w:t>法定计量检定机构考核申请书</w:t>
      </w:r>
      <w:r>
        <w:rPr>
          <w:rFonts w:hint="eastAsia" w:hAnsi="宋体"/>
          <w:kern w:val="0"/>
          <w:szCs w:val="32"/>
        </w:rPr>
        <w:t>》（包含</w:t>
      </w:r>
      <w:r>
        <w:rPr>
          <w:rFonts w:hint="eastAsia" w:hAnsi="宋体"/>
          <w:kern w:val="0"/>
          <w:szCs w:val="30"/>
        </w:rPr>
        <w:t>考核规范与管理体系文件对照检查表、考核项目表、证书报告签发人员一览表、证书报告签发人员考核记录</w:t>
      </w:r>
      <w:r>
        <w:rPr>
          <w:rFonts w:hint="eastAsia" w:hAnsi="宋体"/>
          <w:kern w:val="0"/>
          <w:szCs w:val="32"/>
        </w:rPr>
        <w:t>）</w:t>
      </w:r>
      <w:r>
        <w:rPr>
          <w:rFonts w:hint="eastAsia" w:hAnsi="宋体"/>
          <w:kern w:val="0"/>
          <w:szCs w:val="30"/>
        </w:rPr>
        <w:t>；</w:t>
      </w:r>
    </w:p>
    <w:p>
      <w:pPr>
        <w:tabs>
          <w:tab w:val="left" w:pos="790"/>
          <w:tab w:val="left" w:pos="1264"/>
        </w:tabs>
        <w:overflowPunct w:val="0"/>
        <w:adjustRightInd w:val="0"/>
        <w:snapToGrid w:val="0"/>
        <w:spacing w:line="336" w:lineRule="auto"/>
        <w:ind w:firstLine="632" w:firstLineChars="200"/>
        <w:rPr>
          <w:rFonts w:hAnsi="宋体"/>
          <w:kern w:val="0"/>
          <w:szCs w:val="30"/>
        </w:rPr>
      </w:pPr>
      <w:r>
        <w:rPr>
          <w:rFonts w:hint="eastAsia" w:hAnsi="宋体"/>
          <w:kern w:val="0"/>
          <w:szCs w:val="30"/>
        </w:rPr>
        <w:t>2．质量手册；</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3．程序文件目录；</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4．《告知承诺书》。</w:t>
      </w:r>
    </w:p>
    <w:p>
      <w:pPr>
        <w:tabs>
          <w:tab w:val="left" w:pos="790"/>
          <w:tab w:val="left" w:pos="1264"/>
        </w:tabs>
        <w:overflowPunct w:val="0"/>
        <w:adjustRightInd w:val="0"/>
        <w:snapToGrid w:val="0"/>
        <w:spacing w:line="336" w:lineRule="auto"/>
        <w:ind w:firstLine="624"/>
        <w:rPr>
          <w:rFonts w:ascii="黑体" w:hAnsi="黑体" w:eastAsia="黑体" w:cs="宋体"/>
          <w:kern w:val="0"/>
          <w:szCs w:val="32"/>
        </w:rPr>
      </w:pPr>
      <w:r>
        <w:rPr>
          <w:rFonts w:hint="eastAsia" w:ascii="黑体" w:hAnsi="黑体" w:eastAsia="黑体"/>
          <w:kern w:val="0"/>
          <w:szCs w:val="30"/>
        </w:rPr>
        <w:t>四、</w:t>
      </w:r>
      <w:r>
        <w:rPr>
          <w:rFonts w:hint="eastAsia" w:ascii="黑体" w:hAnsi="黑体" w:eastAsia="黑体" w:cs="宋体"/>
          <w:kern w:val="0"/>
          <w:szCs w:val="32"/>
        </w:rPr>
        <w:t>承诺的期限和效力</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申请人愿意作出承诺的，</w:t>
      </w:r>
      <w:r>
        <w:rPr>
          <w:rFonts w:hint="default" w:ascii="仿宋_GB2312" w:hAnsi="仿宋_GB2312" w:eastAsia="仿宋_GB2312" w:cs="仿宋_GB2312"/>
          <w:sz w:val="32"/>
          <w:szCs w:val="32"/>
          <w:lang w:val="en" w:eastAsia="zh-CN"/>
        </w:rPr>
        <w:t>行政审批机关</w:t>
      </w:r>
      <w:r>
        <w:rPr>
          <w:rFonts w:hint="eastAsia" w:ascii="仿宋_GB2312" w:hAnsi="仿宋_GB2312" w:eastAsia="仿宋_GB2312" w:cs="仿宋_GB2312"/>
          <w:sz w:val="32"/>
          <w:szCs w:val="32"/>
          <w:lang w:eastAsia="zh-CN"/>
        </w:rPr>
        <w:t>先予受理，作出审批决定</w:t>
      </w:r>
      <w:r>
        <w:rPr>
          <w:rFonts w:hint="eastAsia" w:ascii="仿宋_GB2312" w:hAnsi="仿宋_GB2312" w:eastAsia="仿宋_GB2312" w:cs="仿宋_GB2312"/>
          <w:sz w:val="32"/>
          <w:szCs w:val="32"/>
        </w:rPr>
        <w:t>。</w:t>
      </w:r>
    </w:p>
    <w:p>
      <w:pPr>
        <w:tabs>
          <w:tab w:val="left" w:pos="790"/>
          <w:tab w:val="left" w:pos="1264"/>
        </w:tabs>
        <w:adjustRightInd w:val="0"/>
        <w:snapToGrid w:val="0"/>
        <w:spacing w:line="322" w:lineRule="auto"/>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申请人作出符合上述申请条件的承诺，并提交签章的告知承诺书后，行政审批机关将作出行政审批决定。申请人逾期不作出承诺的，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将按照法律、法规和规章的有关规定实施行政审批。申请人作出不实承诺的，</w:t>
      </w:r>
      <w:r>
        <w:rPr>
          <w:rFonts w:hint="default" w:ascii="仿宋_GB2312" w:hAnsi="仿宋_GB2312" w:eastAsia="仿宋_GB2312" w:cs="仿宋_GB2312"/>
          <w:sz w:val="32"/>
          <w:szCs w:val="32"/>
          <w:lang w:val="en"/>
        </w:rPr>
        <w:t>行政审批机关</w:t>
      </w:r>
      <w:r>
        <w:rPr>
          <w:rFonts w:hint="eastAsia" w:ascii="仿宋_GB2312" w:hAnsi="仿宋_GB2312" w:eastAsia="仿宋_GB2312" w:cs="仿宋_GB2312"/>
          <w:sz w:val="32"/>
          <w:szCs w:val="32"/>
        </w:rPr>
        <w:t>将依法作出处理，并由申请人依法承担相应的法律责任。</w:t>
      </w:r>
    </w:p>
    <w:p>
      <w:pPr>
        <w:shd w:val="clear" w:color="auto" w:fill="FFFFFF"/>
        <w:adjustRightInd w:val="0"/>
        <w:snapToGrid w:val="0"/>
        <w:spacing w:line="336" w:lineRule="auto"/>
        <w:ind w:firstLine="624"/>
        <w:rPr>
          <w:rFonts w:ascii="黑体" w:hAnsi="黑体" w:eastAsia="黑体" w:cs="宋体"/>
          <w:kern w:val="0"/>
          <w:szCs w:val="32"/>
        </w:rPr>
      </w:pPr>
      <w:r>
        <w:rPr>
          <w:rFonts w:hint="eastAsia" w:ascii="黑体" w:hAnsi="黑体" w:eastAsia="黑体" w:cs="宋体"/>
          <w:kern w:val="0"/>
          <w:szCs w:val="32"/>
        </w:rPr>
        <w:t>五、监督和法律责任</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rPr>
      </w:pPr>
      <w:r>
        <w:rPr>
          <w:rFonts w:hint="default" w:ascii="仿宋_GB2312" w:hAnsi="宋体" w:eastAsia="仿宋_GB2312" w:cs="仿宋_GB2312"/>
          <w:sz w:val="32"/>
          <w:szCs w:val="30"/>
          <w:lang w:val="en"/>
        </w:rPr>
        <w:t>行政审批机关</w:t>
      </w:r>
      <w:r>
        <w:rPr>
          <w:rFonts w:hint="eastAsia" w:ascii="仿宋_GB2312" w:hAnsi="宋体" w:eastAsia="仿宋_GB2312" w:cs="仿宋_GB2312"/>
          <w:sz w:val="32"/>
          <w:szCs w:val="30"/>
        </w:rPr>
        <w:t>将在作出准予行政审批决定后2个月内对被审批人的承诺内容是否属实进行</w:t>
      </w:r>
      <w:r>
        <w:rPr>
          <w:rFonts w:hint="eastAsia" w:ascii="仿宋_GB2312" w:hAnsi="宋体" w:eastAsia="仿宋_GB2312" w:cs="仿宋_GB2312"/>
          <w:sz w:val="32"/>
          <w:szCs w:val="30"/>
          <w:lang w:eastAsia="zh-CN"/>
        </w:rPr>
        <w:t>核</w:t>
      </w:r>
      <w:r>
        <w:rPr>
          <w:rFonts w:hint="eastAsia" w:ascii="仿宋_GB2312" w:hAnsi="宋体" w:eastAsia="仿宋_GB2312" w:cs="仿宋_GB2312"/>
          <w:sz w:val="32"/>
          <w:szCs w:val="30"/>
        </w:rPr>
        <w:t>查。发现被审批人实际情况与承诺内容不符，</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将要求其限期整改，逾期拒不整改或者整改后仍不符合条件的，依法撤销行政审批决定。</w:t>
      </w:r>
    </w:p>
    <w:p>
      <w:pPr>
        <w:tabs>
          <w:tab w:val="left" w:pos="790"/>
          <w:tab w:val="left" w:pos="1264"/>
        </w:tabs>
        <w:overflowPunct w:val="0"/>
        <w:adjustRightInd w:val="0"/>
        <w:snapToGrid w:val="0"/>
        <w:spacing w:line="322" w:lineRule="auto"/>
        <w:ind w:firstLine="624"/>
        <w:rPr>
          <w:rFonts w:hint="eastAsia" w:ascii="黑体" w:hAnsi="黑体" w:eastAsia="黑体" w:cs="黑体"/>
          <w:sz w:val="32"/>
          <w:szCs w:val="30"/>
          <w:lang w:eastAsia="zh-CN"/>
        </w:rPr>
      </w:pPr>
      <w:r>
        <w:rPr>
          <w:rFonts w:hint="eastAsia" w:ascii="黑体" w:hAnsi="黑体" w:eastAsia="黑体" w:cs="黑体"/>
          <w:sz w:val="32"/>
          <w:szCs w:val="30"/>
          <w:lang w:eastAsia="zh-CN"/>
        </w:rPr>
        <w:t>六、违诺责任</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eastAsia="zh-CN"/>
        </w:rPr>
      </w:pPr>
      <w:r>
        <w:rPr>
          <w:rFonts w:hint="eastAsia" w:ascii="楷体_GB2312" w:hAnsi="楷体_GB2312" w:eastAsia="楷体_GB2312" w:cs="楷体_GB2312"/>
          <w:sz w:val="32"/>
          <w:szCs w:val="30"/>
          <w:lang w:eastAsia="zh-CN"/>
        </w:rPr>
        <w:t>（一）申请人未履行承诺，有以下行为之一的，将责令限期整改，并在行政审批部门系统内部予以记录。</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1.申请人在规定期限内未提交材料或者提交的材料不符合要求；</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w:t>
      </w:r>
      <w:r>
        <w:rPr>
          <w:rFonts w:hint="eastAsia" w:ascii="仿宋_GB2312" w:hAnsi="宋体" w:eastAsia="仿宋_GB2312" w:cs="仿宋_GB2312"/>
          <w:sz w:val="32"/>
          <w:szCs w:val="30"/>
        </w:rPr>
        <w:t>申请人应当在本告知承诺书约定的期限内提交应补充的材料。未提交材料或者提交的材料不符合要求且无法补正的</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22" w:lineRule="auto"/>
        <w:ind w:firstLine="624"/>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3.行政审批机关在审查、事后核查中发现申请人作出不实承诺</w:t>
      </w:r>
      <w:r>
        <w:rPr>
          <w:rFonts w:hint="eastAsia" w:hAnsi="宋体" w:cs="仿宋_GB2312"/>
          <w:sz w:val="32"/>
          <w:szCs w:val="30"/>
          <w:lang w:val="en-US" w:eastAsia="zh-CN"/>
        </w:rPr>
        <w:t>或者违法承诺的</w:t>
      </w:r>
      <w:r>
        <w:rPr>
          <w:rFonts w:hint="eastAsia" w:ascii="仿宋_GB2312" w:hAnsi="宋体" w:eastAsia="仿宋_GB2312" w:cs="仿宋_GB2312"/>
          <w:sz w:val="32"/>
          <w:szCs w:val="30"/>
          <w:lang w:val="en-US" w:eastAsia="zh-CN"/>
        </w:rPr>
        <w:t>。</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（二）被审批人具有下列情形之一的，将依法撤销行政审批决定，并纳入上海市公共信用信息服务平台予以记录。</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1.因被审批人拒不配合告知承诺事后核查，行政审批机关无法核实被审批人承诺内容的；</w:t>
      </w:r>
    </w:p>
    <w:p>
      <w:pPr>
        <w:keepNext w:val="0"/>
        <w:keepLines w:val="0"/>
        <w:pageBreakBefore w:val="0"/>
        <w:widowControl w:val="0"/>
        <w:tabs>
          <w:tab w:val="left" w:pos="790"/>
          <w:tab w:val="left" w:pos="1264"/>
        </w:tabs>
        <w:kinsoku/>
        <w:wordWrap/>
        <w:overflowPunct w:val="0"/>
        <w:topLinePunct w:val="0"/>
        <w:autoSpaceDE/>
        <w:autoSpaceDN/>
        <w:bidi w:val="0"/>
        <w:adjustRightInd w:val="0"/>
        <w:snapToGrid w:val="0"/>
        <w:spacing w:line="322" w:lineRule="auto"/>
        <w:ind w:firstLine="624"/>
        <w:textAlignment w:val="auto"/>
        <w:rPr>
          <w:rFonts w:hint="eastAsia" w:ascii="仿宋_GB2312" w:hAnsi="宋体" w:eastAsia="仿宋_GB2312" w:cs="仿宋_GB2312"/>
          <w:sz w:val="32"/>
          <w:szCs w:val="30"/>
          <w:lang w:val="en-US" w:eastAsia="zh-CN"/>
        </w:rPr>
      </w:pPr>
      <w:r>
        <w:rPr>
          <w:rFonts w:hint="eastAsia" w:ascii="仿宋_GB2312" w:hAnsi="宋体" w:eastAsia="仿宋_GB2312" w:cs="仿宋_GB2312"/>
          <w:sz w:val="32"/>
          <w:szCs w:val="30"/>
          <w:lang w:val="en-US" w:eastAsia="zh-CN"/>
        </w:rPr>
        <w:t>2.行政审批机关事后核查要求被审批人限期整改，被审批人逾期拒不整改或者整改后仍不符合条件的</w:t>
      </w:r>
      <w:r>
        <w:rPr>
          <w:rFonts w:hint="eastAsia" w:hAnsi="宋体" w:cs="仿宋_GB2312"/>
          <w:sz w:val="32"/>
          <w:szCs w:val="30"/>
          <w:lang w:val="en-US" w:eastAsia="zh-CN"/>
        </w:rPr>
        <w:t>。</w:t>
      </w:r>
    </w:p>
    <w:p>
      <w:pPr>
        <w:tabs>
          <w:tab w:val="left" w:pos="790"/>
          <w:tab w:val="left" w:pos="1264"/>
        </w:tabs>
        <w:overflowPunct w:val="0"/>
        <w:adjustRightInd w:val="0"/>
        <w:snapToGrid w:val="0"/>
        <w:spacing w:line="322" w:lineRule="auto"/>
        <w:ind w:firstLine="624"/>
        <w:rPr>
          <w:rFonts w:hint="eastAsia" w:ascii="楷体_GB2312" w:hAnsi="楷体_GB2312" w:eastAsia="楷体_GB2312" w:cs="楷体_GB2312"/>
          <w:sz w:val="32"/>
          <w:szCs w:val="30"/>
          <w:lang w:val="en-US" w:eastAsia="zh-CN"/>
        </w:rPr>
      </w:pPr>
      <w:r>
        <w:rPr>
          <w:rFonts w:hint="eastAsia" w:ascii="楷体_GB2312" w:hAnsi="楷体_GB2312" w:eastAsia="楷体_GB2312" w:cs="楷体_GB2312"/>
          <w:sz w:val="32"/>
          <w:szCs w:val="30"/>
          <w:lang w:val="en-US" w:eastAsia="zh-CN"/>
        </w:rPr>
        <w:t>（三）申请人违反承诺被记入诚信档案或上海市公共信用信息服务平台之日起（一般不超过3年）内，且尚未完成修复前，将不得适用告知承诺的行政审批方式。</w:t>
      </w:r>
    </w:p>
    <w:p>
      <w:pPr>
        <w:rPr>
          <w:rFonts w:hint="eastAsia" w:ascii="方正小标宋简体" w:hAnsi="宋体" w:eastAsia="方正小标宋简体"/>
          <w:kern w:val="0"/>
          <w:sz w:val="44"/>
          <w:szCs w:val="44"/>
        </w:rPr>
      </w:pPr>
      <w:r>
        <w:rPr>
          <w:rFonts w:hint="eastAsia" w:ascii="方正小标宋简体" w:hAnsi="宋体" w:eastAsia="方正小标宋简体"/>
          <w:kern w:val="0"/>
          <w:sz w:val="44"/>
          <w:szCs w:val="44"/>
        </w:rPr>
        <w:br w:type="page"/>
      </w:r>
    </w:p>
    <w:p>
      <w:pPr>
        <w:shd w:val="clear" w:color="auto" w:fill="FFFFFF"/>
        <w:adjustRightInd w:val="0"/>
        <w:snapToGrid w:val="0"/>
        <w:spacing w:line="336" w:lineRule="auto"/>
        <w:ind w:firstLine="624"/>
        <w:jc w:val="center"/>
        <w:rPr>
          <w:rFonts w:ascii="方正小标宋简体" w:hAnsi="宋体" w:eastAsia="方正小标宋简体"/>
          <w:kern w:val="0"/>
          <w:sz w:val="44"/>
          <w:szCs w:val="44"/>
        </w:rPr>
      </w:pPr>
      <w:r>
        <w:rPr>
          <w:rFonts w:hint="eastAsia" w:ascii="方正小标宋简体" w:hAnsi="宋体" w:eastAsia="方正小标宋简体"/>
          <w:kern w:val="0"/>
          <w:sz w:val="44"/>
          <w:szCs w:val="44"/>
        </w:rPr>
        <w:t>申请人的承诺</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申请人就申请审批的行政审批事项，现作出下列承诺：</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（一）所填写的基本信息真实、准确；</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（二）已经知晓</w:t>
      </w:r>
      <w:r>
        <w:rPr>
          <w:rFonts w:hint="default" w:ascii="仿宋_GB2312" w:hAnsi="仿宋_GB2312" w:eastAsia="仿宋_GB2312" w:cs="仿宋_GB2312"/>
          <w:sz w:val="32"/>
          <w:szCs w:val="32"/>
          <w:lang w:val="en"/>
        </w:rPr>
        <w:t>行政审批机关</w:t>
      </w:r>
      <w:r>
        <w:rPr>
          <w:rFonts w:hint="eastAsia" w:ascii="仿宋_GB2312" w:hAnsi="宋体" w:eastAsia="仿宋_GB2312" w:cs="仿宋_GB2312"/>
          <w:sz w:val="32"/>
          <w:szCs w:val="30"/>
        </w:rPr>
        <w:t>告知的全部内容；</w:t>
      </w:r>
    </w:p>
    <w:p>
      <w:pPr>
        <w:tabs>
          <w:tab w:val="left" w:pos="790"/>
          <w:tab w:val="left" w:pos="1264"/>
        </w:tabs>
        <w:overflowPunct w:val="0"/>
        <w:adjustRightInd w:val="0"/>
        <w:snapToGrid w:val="0"/>
        <w:spacing w:line="336" w:lineRule="auto"/>
        <w:ind w:firstLine="624"/>
        <w:rPr>
          <w:rFonts w:hAnsi="宋体"/>
          <w:kern w:val="0"/>
          <w:szCs w:val="30"/>
        </w:rPr>
      </w:pPr>
      <w:r>
        <w:rPr>
          <w:rFonts w:hint="eastAsia" w:ascii="仿宋_GB2312" w:hAnsi="宋体" w:eastAsia="仿宋_GB2312" w:cs="仿宋_GB2312"/>
          <w:sz w:val="32"/>
          <w:szCs w:val="30"/>
        </w:rPr>
        <w:t>（三）</w:t>
      </w:r>
      <w:r>
        <w:rPr>
          <w:rFonts w:hint="eastAsia" w:hAnsi="宋体"/>
          <w:kern w:val="0"/>
          <w:szCs w:val="30"/>
        </w:rPr>
        <w:t>认为自身能满足行政审批机关告知的条件、标准和要求；</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（四）认为自身能满足行政审批机关告知的条件、标准和要求；</w:t>
      </w:r>
    </w:p>
    <w:p>
      <w:pPr>
        <w:tabs>
          <w:tab w:val="left" w:pos="790"/>
          <w:tab w:val="left" w:pos="1264"/>
        </w:tabs>
        <w:overflowPunct w:val="0"/>
        <w:adjustRightInd w:val="0"/>
        <w:snapToGrid w:val="0"/>
        <w:spacing w:line="336" w:lineRule="auto"/>
        <w:ind w:firstLine="624"/>
        <w:rPr>
          <w:rFonts w:ascii="仿宋_GB2312" w:hAnsi="宋体" w:eastAsia="仿宋_GB2312" w:cs="仿宋_GB2312"/>
          <w:sz w:val="32"/>
          <w:szCs w:val="30"/>
        </w:rPr>
      </w:pPr>
      <w:r>
        <w:rPr>
          <w:rFonts w:hint="eastAsia" w:ascii="仿宋_GB2312" w:hAnsi="宋体" w:eastAsia="仿宋_GB2312" w:cs="仿宋_GB2312"/>
          <w:sz w:val="32"/>
          <w:szCs w:val="30"/>
        </w:rPr>
        <w:t>（五）对于约定需要提供的材料，承诺能够在规定期限内予以提供；</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lang w:eastAsia="zh-CN"/>
        </w:rPr>
        <w:t>（</w:t>
      </w:r>
      <w:r>
        <w:rPr>
          <w:rFonts w:hint="eastAsia" w:ascii="仿宋_GB2312" w:hAnsi="宋体" w:eastAsia="仿宋_GB2312" w:cs="仿宋_GB2312"/>
          <w:sz w:val="32"/>
          <w:szCs w:val="30"/>
        </w:rPr>
        <w:t>六</w:t>
      </w:r>
      <w:r>
        <w:rPr>
          <w:rFonts w:hint="eastAsia" w:ascii="仿宋_GB2312" w:hAnsi="宋体" w:eastAsia="仿宋_GB2312" w:cs="仿宋_GB2312"/>
          <w:sz w:val="32"/>
          <w:szCs w:val="30"/>
          <w:lang w:eastAsia="zh-CN"/>
        </w:rPr>
        <w:t>）配合行政审批机关进行事后核查；</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（七）若违反承诺或者作出不实承诺的，愿意承担相应的法律责任</w:t>
      </w:r>
      <w:r>
        <w:rPr>
          <w:rFonts w:hint="eastAsia" w:ascii="仿宋_GB2312" w:hAnsi="宋体" w:eastAsia="仿宋_GB2312" w:cs="仿宋_GB2312"/>
          <w:sz w:val="32"/>
          <w:szCs w:val="30"/>
          <w:lang w:eastAsia="zh-CN"/>
        </w:rPr>
        <w:t>；</w:t>
      </w:r>
    </w:p>
    <w:p>
      <w:pPr>
        <w:tabs>
          <w:tab w:val="left" w:pos="790"/>
          <w:tab w:val="left" w:pos="1264"/>
        </w:tabs>
        <w:overflowPunct w:val="0"/>
        <w:adjustRightInd w:val="0"/>
        <w:snapToGrid w:val="0"/>
        <w:spacing w:line="336" w:lineRule="auto"/>
        <w:ind w:firstLine="624"/>
        <w:rPr>
          <w:rFonts w:hint="eastAsia" w:ascii="仿宋_GB2312" w:hAnsi="宋体" w:eastAsia="仿宋_GB2312" w:cs="仿宋_GB2312"/>
          <w:sz w:val="32"/>
          <w:szCs w:val="30"/>
          <w:lang w:eastAsia="zh-CN"/>
        </w:rPr>
      </w:pPr>
      <w:r>
        <w:rPr>
          <w:rFonts w:hint="eastAsia" w:ascii="仿宋_GB2312" w:hAnsi="宋体" w:eastAsia="仿宋_GB2312" w:cs="仿宋_GB2312"/>
          <w:sz w:val="32"/>
          <w:szCs w:val="30"/>
        </w:rPr>
        <w:t>（</w:t>
      </w:r>
      <w:r>
        <w:rPr>
          <w:rFonts w:hint="eastAsia" w:ascii="仿宋_GB2312" w:hAnsi="宋体" w:eastAsia="仿宋_GB2312" w:cs="仿宋_GB2312"/>
          <w:sz w:val="32"/>
          <w:szCs w:val="30"/>
          <w:lang w:eastAsia="zh-CN"/>
        </w:rPr>
        <w:t>八</w:t>
      </w:r>
      <w:r>
        <w:rPr>
          <w:rFonts w:hint="eastAsia" w:ascii="仿宋_GB2312" w:hAnsi="宋体" w:eastAsia="仿宋_GB2312" w:cs="仿宋_GB2312"/>
          <w:sz w:val="32"/>
          <w:szCs w:val="30"/>
        </w:rPr>
        <w:t>）上述陈述是申请人真实意思的表示</w:t>
      </w:r>
      <w:r>
        <w:rPr>
          <w:rFonts w:hint="eastAsia" w:ascii="仿宋_GB2312" w:hAnsi="宋体" w:eastAsia="仿宋_GB2312" w:cs="仿宋_GB2312"/>
          <w:sz w:val="32"/>
          <w:szCs w:val="30"/>
          <w:lang w:eastAsia="zh-CN"/>
        </w:rPr>
        <w:t>。</w:t>
      </w:r>
    </w:p>
    <w:p>
      <w:pPr>
        <w:tabs>
          <w:tab w:val="left" w:pos="790"/>
          <w:tab w:val="left" w:pos="948"/>
          <w:tab w:val="left" w:pos="4820"/>
        </w:tabs>
        <w:overflowPunct w:val="0"/>
        <w:adjustRightInd w:val="0"/>
        <w:snapToGrid w:val="0"/>
        <w:spacing w:line="336" w:lineRule="auto"/>
        <w:ind w:firstLine="316" w:firstLineChars="100"/>
        <w:rPr>
          <w:rFonts w:hint="eastAsia" w:hAnsi="宋体"/>
          <w:kern w:val="0"/>
          <w:szCs w:val="30"/>
        </w:rPr>
      </w:pPr>
    </w:p>
    <w:p>
      <w:pPr>
        <w:tabs>
          <w:tab w:val="left" w:pos="790"/>
          <w:tab w:val="left" w:pos="948"/>
          <w:tab w:val="left" w:pos="4820"/>
        </w:tabs>
        <w:overflowPunct w:val="0"/>
        <w:adjustRightInd w:val="0"/>
        <w:snapToGrid w:val="0"/>
        <w:spacing w:line="336" w:lineRule="auto"/>
        <w:ind w:firstLine="4740" w:firstLineChars="1500"/>
        <w:rPr>
          <w:rFonts w:hint="eastAsia" w:hAnsi="宋体" w:eastAsia="仿宋_GB2312"/>
          <w:kern w:val="0"/>
          <w:szCs w:val="30"/>
          <w:lang w:val="en-US" w:eastAsia="zh-CN"/>
        </w:rPr>
      </w:pPr>
      <w:r>
        <w:rPr>
          <w:rFonts w:hint="eastAsia" w:hAnsi="宋体"/>
          <w:kern w:val="0"/>
          <w:szCs w:val="30"/>
        </w:rPr>
        <w:t>申请人（委托代理人）：　　　　　</w:t>
      </w:r>
      <w:r>
        <w:rPr>
          <w:rFonts w:hint="eastAsia" w:hAnsi="宋体"/>
          <w:kern w:val="0"/>
          <w:szCs w:val="30"/>
          <w:lang w:val="en-US" w:eastAsia="zh-CN"/>
        </w:rPr>
        <w:t xml:space="preserve"> </w:t>
      </w:r>
    </w:p>
    <w:p>
      <w:pPr>
        <w:tabs>
          <w:tab w:val="left" w:pos="790"/>
          <w:tab w:val="left" w:pos="948"/>
        </w:tabs>
        <w:overflowPunct w:val="0"/>
        <w:adjustRightInd w:val="0"/>
        <w:snapToGrid w:val="0"/>
        <w:spacing w:line="336" w:lineRule="auto"/>
        <w:rPr>
          <w:rFonts w:hint="eastAsia" w:hAnsi="宋体" w:eastAsia="仿宋_GB2312"/>
          <w:kern w:val="0"/>
          <w:szCs w:val="30"/>
          <w:lang w:eastAsia="zh-CN"/>
        </w:rPr>
      </w:pPr>
      <w:r>
        <w:rPr>
          <w:rFonts w:hint="eastAsia" w:hAnsi="宋体"/>
          <w:kern w:val="0"/>
          <w:szCs w:val="30"/>
        </w:rPr>
        <w:t xml:space="preserve">　　　　　　　　　　　　　　　　 </w:t>
      </w:r>
      <w:r>
        <w:rPr>
          <w:rFonts w:hint="eastAsia" w:hAnsi="宋体"/>
          <w:kern w:val="0"/>
          <w:szCs w:val="30"/>
          <w:lang w:val="en-US" w:eastAsia="zh-CN"/>
        </w:rPr>
        <w:t xml:space="preserve"> </w:t>
      </w:r>
      <w:r>
        <w:rPr>
          <w:rFonts w:hint="eastAsia" w:hAnsi="宋体"/>
          <w:kern w:val="0"/>
          <w:szCs w:val="30"/>
        </w:rPr>
        <w:t xml:space="preserve">　　（签字盖章）　　　　　　　　　　　 </w:t>
      </w:r>
      <w:r>
        <w:rPr>
          <w:rFonts w:hint="eastAsia" w:hAnsi="宋体"/>
          <w:kern w:val="0"/>
          <w:szCs w:val="30"/>
          <w:lang w:val="en-US" w:eastAsia="zh-CN"/>
        </w:rPr>
        <w:t xml:space="preserve"> </w:t>
      </w:r>
    </w:p>
    <w:p>
      <w:pPr>
        <w:tabs>
          <w:tab w:val="left" w:pos="790"/>
          <w:tab w:val="left" w:pos="948"/>
          <w:tab w:val="left" w:pos="4395"/>
          <w:tab w:val="left" w:pos="4820"/>
        </w:tabs>
        <w:overflowPunct w:val="0"/>
        <w:adjustRightInd w:val="0"/>
        <w:snapToGrid w:val="0"/>
        <w:spacing w:line="336" w:lineRule="auto"/>
        <w:rPr>
          <w:rFonts w:hAnsi="宋体"/>
          <w:kern w:val="0"/>
          <w:szCs w:val="30"/>
        </w:rPr>
      </w:pPr>
      <w:r>
        <w:rPr>
          <w:rFonts w:hint="eastAsia" w:hAnsi="宋体"/>
          <w:kern w:val="0"/>
          <w:szCs w:val="30"/>
        </w:rPr>
        <w:t>　　　　　</w:t>
      </w:r>
      <w:r>
        <w:rPr>
          <w:rFonts w:hint="eastAsia" w:hAnsi="宋体"/>
          <w:kern w:val="0"/>
          <w:szCs w:val="30"/>
          <w:lang w:val="en-US" w:eastAsia="zh-CN"/>
        </w:rPr>
        <w:t xml:space="preserve"> </w:t>
      </w:r>
      <w:r>
        <w:rPr>
          <w:rFonts w:hint="eastAsia" w:hAnsi="宋体"/>
          <w:kern w:val="0"/>
          <w:szCs w:val="30"/>
        </w:rPr>
        <w:t>　　　　　　年　　月　　日</w:t>
      </w:r>
    </w:p>
    <w:p>
      <w:pPr>
        <w:tabs>
          <w:tab w:val="left" w:pos="790"/>
          <w:tab w:val="left" w:pos="1264"/>
        </w:tabs>
        <w:overflowPunct w:val="0"/>
        <w:adjustRightInd w:val="0"/>
        <w:snapToGrid w:val="0"/>
        <w:ind w:firstLine="624"/>
        <w:rPr>
          <w:rFonts w:hAnsi="宋体"/>
          <w:kern w:val="0"/>
          <w:szCs w:val="30"/>
        </w:rPr>
      </w:pPr>
    </w:p>
    <w:p>
      <w:pPr>
        <w:tabs>
          <w:tab w:val="left" w:pos="790"/>
          <w:tab w:val="left" w:pos="1264"/>
        </w:tabs>
        <w:overflowPunct w:val="0"/>
        <w:adjustRightInd w:val="0"/>
        <w:snapToGrid w:val="0"/>
        <w:spacing w:line="336" w:lineRule="auto"/>
        <w:ind w:firstLine="624"/>
        <w:jc w:val="right"/>
      </w:pPr>
      <w:r>
        <w:rPr>
          <w:rFonts w:hint="eastAsia" w:ascii="楷体_GB2312" w:hAnsi="宋体" w:eastAsia="楷体_GB2312"/>
          <w:kern w:val="0"/>
          <w:szCs w:val="30"/>
        </w:rPr>
        <w:t>（一式两份）</w:t>
      </w:r>
    </w:p>
    <w:sectPr>
      <w:footerReference r:id="rId3" w:type="default"/>
      <w:footerReference r:id="rId4" w:type="even"/>
      <w:pgSz w:w="11906" w:h="16838"/>
      <w:pgMar w:top="2098" w:right="1474" w:bottom="1985" w:left="158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jc w:val="right"/>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7</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12" w:right="312"/>
      <w:rPr>
        <w:rFonts w:ascii="宋体" w:hAnsi="宋体"/>
        <w:sz w:val="28"/>
        <w:szCs w:val="28"/>
      </w:rP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rPr>
      <w:t>20</w:t>
    </w:r>
    <w:r>
      <w:rPr>
        <w:rFonts w:hint="eastAsia" w:ascii="宋体" w:hAnsi="宋体"/>
        <w:kern w:val="0"/>
        <w:sz w:val="28"/>
        <w:szCs w:val="28"/>
      </w:rPr>
      <w:fldChar w:fldCharType="end"/>
    </w:r>
    <w:r>
      <w:rPr>
        <w:rFonts w:hint="eastAsia" w:ascii="宋体" w:hAnsi="宋体"/>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84232"/>
    <w:rsid w:val="00184232"/>
    <w:rsid w:val="002D5769"/>
    <w:rsid w:val="003535E0"/>
    <w:rsid w:val="003A7E43"/>
    <w:rsid w:val="00745D4D"/>
    <w:rsid w:val="00783388"/>
    <w:rsid w:val="007D4F4A"/>
    <w:rsid w:val="00847396"/>
    <w:rsid w:val="00863DD0"/>
    <w:rsid w:val="00882129"/>
    <w:rsid w:val="008D75DE"/>
    <w:rsid w:val="008E5D6A"/>
    <w:rsid w:val="0095487B"/>
    <w:rsid w:val="009715CD"/>
    <w:rsid w:val="00AF6BF1"/>
    <w:rsid w:val="00B02143"/>
    <w:rsid w:val="00B147F6"/>
    <w:rsid w:val="00BE4D87"/>
    <w:rsid w:val="00C51160"/>
    <w:rsid w:val="00C77DAF"/>
    <w:rsid w:val="00CF60A9"/>
    <w:rsid w:val="00D55A36"/>
    <w:rsid w:val="00ED292A"/>
    <w:rsid w:val="00F23AB6"/>
    <w:rsid w:val="00F50469"/>
    <w:rsid w:val="00FA48D3"/>
    <w:rsid w:val="00FC25B4"/>
    <w:rsid w:val="00FC53C5"/>
    <w:rsid w:val="7AC73250"/>
    <w:rsid w:val="9FFED8B1"/>
    <w:rsid w:val="FFED23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link w:val="3"/>
    <w:qFormat/>
    <w:uiPriority w:val="99"/>
    <w:rPr>
      <w:sz w:val="18"/>
      <w:szCs w:val="18"/>
    </w:rPr>
  </w:style>
  <w:style w:type="character" w:customStyle="1" w:styleId="8">
    <w:name w:val="页脚 Char1"/>
    <w:basedOn w:val="6"/>
    <w:semiHidden/>
    <w:qFormat/>
    <w:uiPriority w:val="99"/>
    <w:rPr>
      <w:rFonts w:ascii="仿宋_GB2312" w:hAnsi="Times New Roman" w:eastAsia="仿宋_GB2312" w:cs="Times New Roman"/>
      <w:sz w:val="18"/>
      <w:szCs w:val="18"/>
    </w:rPr>
  </w:style>
  <w:style w:type="character" w:customStyle="1" w:styleId="9">
    <w:name w:val="批注框文本 Char"/>
    <w:basedOn w:val="6"/>
    <w:link w:val="2"/>
    <w:semiHidden/>
    <w:qFormat/>
    <w:uiPriority w:val="99"/>
    <w:rPr>
      <w:rFonts w:ascii="仿宋_GB2312" w:hAnsi="Times New Roman" w:eastAsia="仿宋_GB2312" w:cs="Times New Roman"/>
      <w:sz w:val="18"/>
      <w:szCs w:val="18"/>
    </w:rPr>
  </w:style>
  <w:style w:type="character" w:customStyle="1" w:styleId="10">
    <w:name w:val="页眉 Char"/>
    <w:basedOn w:val="6"/>
    <w:link w:val="4"/>
    <w:qFormat/>
    <w:uiPriority w:val="99"/>
    <w:rPr>
      <w:rFonts w:ascii="仿宋_GB2312" w:hAnsi="Times New Roman" w:eastAsia="仿宋_GB2312" w:cs="Times New Roman"/>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415</Words>
  <Characters>2366</Characters>
  <Lines>19</Lines>
  <Paragraphs>5</Paragraphs>
  <TotalTime>0</TotalTime>
  <ScaleCrop>false</ScaleCrop>
  <LinksUpToDate>false</LinksUpToDate>
  <CharactersWithSpaces>2776</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2021-07-06T01:52:00Z</dcterms:created>
  <dc:creator>杨文昌</dc:creator>
  <cp:lastModifiedBy>scjuser</cp:lastModifiedBy>
  <dcterms:modified xsi:type="dcterms:W3CDTF">2025-09-30T14:04:03Z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69BE1518A6FBF56B7F5BDB6898FBA91D</vt:lpwstr>
  </property>
</Properties>
</file>