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kern w:val="0"/>
          <w:sz w:val="44"/>
          <w:szCs w:val="44"/>
          <w:highlight w:val="none"/>
        </w:rPr>
        <w:t>上海市市场监督管理局</w:t>
      </w:r>
    </w:p>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spacing w:val="26"/>
          <w:kern w:val="0"/>
          <w:sz w:val="44"/>
          <w:szCs w:val="44"/>
          <w:highlight w:val="none"/>
        </w:rPr>
        <w:t>行政审批告知承诺</w:t>
      </w:r>
      <w:r>
        <w:rPr>
          <w:rFonts w:hint="eastAsia" w:ascii="方正小标宋简体" w:hAnsi="宋体" w:eastAsia="方正小标宋简体"/>
          <w:kern w:val="0"/>
          <w:sz w:val="44"/>
          <w:szCs w:val="44"/>
          <w:highlight w:val="none"/>
        </w:rPr>
        <w:t>书</w:t>
      </w:r>
    </w:p>
    <w:p>
      <w:pPr>
        <w:tabs>
          <w:tab w:val="left" w:pos="790"/>
          <w:tab w:val="left" w:pos="948"/>
        </w:tabs>
        <w:overflowPunct w:val="0"/>
        <w:adjustRightInd w:val="0"/>
        <w:snapToGrid w:val="0"/>
        <w:spacing w:before="120"/>
        <w:jc w:val="center"/>
        <w:rPr>
          <w:rFonts w:ascii="楷体_GB2312" w:hAnsi="宋体" w:eastAsia="楷体_GB2312"/>
          <w:kern w:val="0"/>
          <w:szCs w:val="30"/>
          <w:highlight w:val="none"/>
        </w:rPr>
      </w:pPr>
      <w:r>
        <w:rPr>
          <w:rFonts w:hint="eastAsia" w:ascii="楷体_GB2312" w:hAnsi="宋体" w:eastAsia="楷体_GB2312"/>
          <w:kern w:val="0"/>
          <w:szCs w:val="30"/>
          <w:highlight w:val="none"/>
        </w:rPr>
        <w:t>（</w:t>
      </w:r>
      <w:r>
        <w:rPr>
          <w:rFonts w:hint="eastAsia" w:ascii="楷体_GB2312" w:hAnsi="宋体" w:eastAsia="楷体_GB2312"/>
          <w:kern w:val="0"/>
          <w:szCs w:val="30"/>
          <w:highlight w:val="none"/>
          <w:lang w:eastAsia="zh-CN"/>
        </w:rPr>
        <w:t>计量标准复查考核</w:t>
      </w:r>
      <w:r>
        <w:rPr>
          <w:rFonts w:hint="eastAsia" w:ascii="楷体_GB2312" w:hAnsi="宋体" w:eastAsia="楷体_GB2312"/>
          <w:kern w:val="0"/>
          <w:szCs w:val="30"/>
          <w:highlight w:val="none"/>
        </w:rPr>
        <w:t>）</w:t>
      </w:r>
    </w:p>
    <w:p>
      <w:pPr>
        <w:tabs>
          <w:tab w:val="left" w:pos="790"/>
          <w:tab w:val="left" w:pos="948"/>
        </w:tabs>
        <w:overflowPunct w:val="0"/>
        <w:adjustRightInd w:val="0"/>
        <w:snapToGrid w:val="0"/>
        <w:spacing w:before="120"/>
        <w:jc w:val="right"/>
        <w:rPr>
          <w:rFonts w:hAnsi="宋体"/>
          <w:kern w:val="0"/>
          <w:szCs w:val="30"/>
          <w:highlight w:val="none"/>
        </w:rPr>
      </w:pPr>
      <w:r>
        <w:rPr>
          <w:rFonts w:hint="eastAsia" w:hAnsi="宋体"/>
          <w:kern w:val="0"/>
          <w:szCs w:val="30"/>
          <w:highlight w:val="none"/>
        </w:rPr>
        <w:t>〔</w:t>
      </w:r>
      <w:r>
        <w:rPr>
          <w:rFonts w:hint="eastAsia" w:hAnsi="宋体"/>
          <w:kern w:val="0"/>
          <w:szCs w:val="30"/>
          <w:highlight w:val="none"/>
          <w:u w:val="single"/>
        </w:rPr>
        <w:t>　　　　</w:t>
      </w:r>
      <w:r>
        <w:rPr>
          <w:rFonts w:hint="eastAsia" w:hAnsi="宋体"/>
          <w:kern w:val="0"/>
          <w:szCs w:val="30"/>
          <w:highlight w:val="none"/>
        </w:rPr>
        <w:t>年〕第</w:t>
      </w:r>
      <w:r>
        <w:rPr>
          <w:rFonts w:hint="eastAsia" w:hAnsi="宋体"/>
          <w:kern w:val="0"/>
          <w:szCs w:val="30"/>
          <w:highlight w:val="none"/>
          <w:u w:val="single"/>
        </w:rPr>
        <w:t>　　</w:t>
      </w:r>
      <w:r>
        <w:rPr>
          <w:rFonts w:hint="eastAsia" w:hAnsi="宋体"/>
          <w:kern w:val="0"/>
          <w:szCs w:val="30"/>
          <w:highlight w:val="none"/>
        </w:rPr>
        <w:t>号</w:t>
      </w:r>
    </w:p>
    <w:p>
      <w:pPr>
        <w:keepNext w:val="0"/>
        <w:keepLines w:val="0"/>
        <w:pageBreakBefore w:val="0"/>
        <w:widowControl w:val="0"/>
        <w:shd w:val="clear" w:color="auto" w:fill="FFFFFF"/>
        <w:kinsoku/>
        <w:wordWrap/>
        <w:topLinePunct w:val="0"/>
        <w:autoSpaceDE/>
        <w:autoSpaceDN/>
        <w:bidi w:val="0"/>
        <w:adjustRightInd w:val="0"/>
        <w:snapToGrid w:val="0"/>
        <w:spacing w:line="336" w:lineRule="auto"/>
        <w:ind w:left="1134"/>
        <w:textAlignment w:val="auto"/>
        <w:rPr>
          <w:rFonts w:ascii="黑体" w:hAnsi="宋体" w:eastAsia="黑体" w:cs="宋体"/>
          <w:color w:val="000000"/>
          <w:kern w:val="0"/>
          <w:sz w:val="32"/>
          <w:szCs w:val="32"/>
          <w:highlight w:val="none"/>
        </w:rPr>
      </w:pPr>
      <w:r>
        <w:rPr>
          <w:rFonts w:hint="eastAsia" w:ascii="黑体" w:hAnsi="宋体" w:eastAsia="黑体" w:cs="宋体"/>
          <w:color w:val="000000"/>
          <w:kern w:val="0"/>
          <w:sz w:val="32"/>
          <w:szCs w:val="32"/>
          <w:highlight w:val="none"/>
        </w:rPr>
        <w:t>申请告知承诺事项类型</w:t>
      </w:r>
    </w:p>
    <w:p>
      <w:pPr>
        <w:keepNext w:val="0"/>
        <w:keepLines w:val="0"/>
        <w:pageBreakBefore w:val="0"/>
        <w:widowControl w:val="0"/>
        <w:shd w:val="clear" w:color="auto" w:fill="FFFFFF"/>
        <w:kinsoku/>
        <w:wordWrap/>
        <w:topLinePunct w:val="0"/>
        <w:autoSpaceDE/>
        <w:autoSpaceDN/>
        <w:bidi w:val="0"/>
        <w:adjustRightInd w:val="0"/>
        <w:snapToGrid w:val="0"/>
        <w:spacing w:line="336" w:lineRule="auto"/>
        <w:ind w:left="1134"/>
        <w:textAlignment w:val="auto"/>
        <w:rPr>
          <w:rFonts w:hAnsi="宋体" w:cs="宋体"/>
          <w:color w:val="000000"/>
          <w:kern w:val="0"/>
          <w:sz w:val="28"/>
          <w:szCs w:val="28"/>
          <w:highlight w:val="none"/>
        </w:rPr>
      </w:pPr>
      <w:r>
        <w:rPr>
          <w:rFonts w:hint="eastAsia" w:hAnsi="宋体" w:cs="宋体"/>
          <w:color w:val="000000"/>
          <w:kern w:val="0"/>
          <w:sz w:val="28"/>
          <w:szCs w:val="28"/>
          <w:highlight w:val="none"/>
        </w:rPr>
        <w:t>○延续（复查）；</w:t>
      </w:r>
    </w:p>
    <w:p>
      <w:pPr>
        <w:keepNext w:val="0"/>
        <w:keepLines w:val="0"/>
        <w:pageBreakBefore w:val="0"/>
        <w:widowControl w:val="0"/>
        <w:tabs>
          <w:tab w:val="left" w:pos="790"/>
          <w:tab w:val="left" w:pos="948"/>
          <w:tab w:val="left" w:pos="7655"/>
        </w:tabs>
        <w:kinsoku/>
        <w:wordWrap/>
        <w:overflowPunct w:val="0"/>
        <w:topLinePunct w:val="0"/>
        <w:autoSpaceDE/>
        <w:autoSpaceDN/>
        <w:bidi w:val="0"/>
        <w:adjustRightInd w:val="0"/>
        <w:snapToGrid w:val="0"/>
        <w:spacing w:line="336" w:lineRule="auto"/>
        <w:ind w:left="1134"/>
        <w:textAlignment w:val="auto"/>
        <w:rPr>
          <w:rFonts w:ascii="黑体" w:hAnsi="黑体" w:eastAsia="黑体"/>
          <w:kern w:val="0"/>
          <w:szCs w:val="30"/>
          <w:highlight w:val="none"/>
        </w:rPr>
      </w:pPr>
    </w:p>
    <w:p>
      <w:pPr>
        <w:keepNext w:val="0"/>
        <w:keepLines w:val="0"/>
        <w:pageBreakBefore w:val="0"/>
        <w:widowControl w:val="0"/>
        <w:tabs>
          <w:tab w:val="left" w:pos="790"/>
          <w:tab w:val="left" w:pos="948"/>
          <w:tab w:val="left" w:pos="7655"/>
        </w:tabs>
        <w:kinsoku/>
        <w:wordWrap/>
        <w:overflowPunct w:val="0"/>
        <w:topLinePunct w:val="0"/>
        <w:autoSpaceDE/>
        <w:autoSpaceDN/>
        <w:bidi w:val="0"/>
        <w:adjustRightInd w:val="0"/>
        <w:snapToGrid w:val="0"/>
        <w:spacing w:line="336" w:lineRule="auto"/>
        <w:ind w:left="1134"/>
        <w:textAlignment w:val="auto"/>
        <w:rPr>
          <w:rFonts w:ascii="黑体" w:hAnsi="黑体" w:eastAsia="黑体"/>
          <w:kern w:val="0"/>
          <w:sz w:val="32"/>
          <w:szCs w:val="32"/>
          <w:highlight w:val="none"/>
        </w:rPr>
      </w:pPr>
      <w:r>
        <w:rPr>
          <w:rFonts w:hint="eastAsia" w:ascii="黑体" w:hAnsi="黑体" w:eastAsia="黑体"/>
          <w:kern w:val="0"/>
          <w:sz w:val="32"/>
          <w:szCs w:val="32"/>
          <w:highlight w:val="none"/>
        </w:rPr>
        <w:t>申请人</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单位名称：</w:t>
      </w:r>
      <w:r>
        <w:rPr>
          <w:rFonts w:hint="eastAsia" w:hAnsi="宋体"/>
          <w:kern w:val="0"/>
          <w:sz w:val="28"/>
          <w:szCs w:val="30"/>
          <w:u w:val="single"/>
        </w:rPr>
        <w:t>　　　　　</w:t>
      </w:r>
      <w:r>
        <w:rPr>
          <w:rFonts w:hint="eastAsia" w:hAnsi="宋体"/>
          <w:kern w:val="0"/>
          <w:sz w:val="28"/>
          <w:szCs w:val="30"/>
          <w:u w:val="single"/>
          <w:lang w:val="en-US" w:eastAsia="zh-CN"/>
        </w:rPr>
        <w:t>AA公司</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r>
        <w:rPr>
          <w:rFonts w:hint="eastAsia" w:hAnsi="宋体"/>
          <w:kern w:val="0"/>
          <w:sz w:val="28"/>
          <w:szCs w:val="30"/>
          <w:lang w:eastAsia="zh-CN"/>
        </w:rPr>
        <w:t>统一社会信用代码</w:t>
      </w:r>
      <w:r>
        <w:rPr>
          <w:rFonts w:hint="eastAsia" w:hAnsi="宋体"/>
          <w:kern w:val="0"/>
          <w:sz w:val="28"/>
          <w:szCs w:val="30"/>
        </w:rPr>
        <w:t>：</w:t>
      </w:r>
      <w:r>
        <w:rPr>
          <w:rFonts w:hint="eastAsia" w:hAnsi="宋体"/>
          <w:kern w:val="0"/>
          <w:sz w:val="28"/>
          <w:szCs w:val="30"/>
          <w:u w:val="single"/>
        </w:rPr>
        <w:t>　XXXXXXXXXXXXX</w:t>
      </w:r>
      <w:r>
        <w:rPr>
          <w:rFonts w:hint="eastAsia" w:hAnsi="宋体"/>
          <w:kern w:val="0"/>
          <w:sz w:val="28"/>
          <w:szCs w:val="30"/>
          <w:u w:val="single"/>
          <w:lang w:val="en-US" w:eastAsia="zh-CN"/>
        </w:rPr>
        <w:t xml:space="preserve">   </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法定代表人：</w:t>
      </w:r>
      <w:r>
        <w:rPr>
          <w:rFonts w:hint="eastAsia" w:hAnsi="宋体"/>
          <w:kern w:val="0"/>
          <w:sz w:val="28"/>
          <w:szCs w:val="30"/>
          <w:u w:val="single"/>
        </w:rPr>
        <w:t>　　　　　</w:t>
      </w:r>
      <w:r>
        <w:rPr>
          <w:rFonts w:hint="eastAsia" w:hAnsi="宋体"/>
          <w:kern w:val="0"/>
          <w:sz w:val="28"/>
          <w:szCs w:val="30"/>
          <w:u w:val="single"/>
          <w:lang w:val="en-US" w:eastAsia="zh-CN"/>
        </w:rPr>
        <w:t>张三</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注册地址：</w:t>
      </w:r>
      <w:r>
        <w:rPr>
          <w:rFonts w:hint="eastAsia" w:hAnsi="宋体"/>
          <w:kern w:val="0"/>
          <w:sz w:val="28"/>
          <w:szCs w:val="30"/>
          <w:u w:val="single"/>
        </w:rPr>
        <w:t>　</w:t>
      </w:r>
      <w:r>
        <w:rPr>
          <w:rFonts w:hint="eastAsia" w:hAnsi="宋体"/>
          <w:kern w:val="0"/>
          <w:sz w:val="28"/>
          <w:szCs w:val="30"/>
          <w:u w:val="single"/>
          <w:lang w:eastAsia="zh-CN"/>
        </w:rPr>
        <w:t>上海市XX区XX路XXX号</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lang w:val="en-US" w:eastAsia="zh-CN"/>
        </w:rPr>
        <w:t>021-XXXXXXXX</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ascii="黑体" w:hAnsi="黑体" w:eastAsia="黑体"/>
          <w:kern w:val="0"/>
          <w:sz w:val="32"/>
          <w:szCs w:val="32"/>
          <w:highlight w:val="none"/>
        </w:rPr>
        <w:t>委托代理人</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hAnsi="宋体"/>
          <w:kern w:val="0"/>
          <w:sz w:val="28"/>
          <w:szCs w:val="30"/>
        </w:rPr>
      </w:pPr>
      <w:r>
        <w:rPr>
          <w:rFonts w:hint="eastAsia" w:hAnsi="宋体"/>
          <w:kern w:val="0"/>
          <w:sz w:val="28"/>
          <w:szCs w:val="30"/>
          <w:highlight w:val="none"/>
        </w:rPr>
        <w:t>姓</w:t>
      </w:r>
      <w:r>
        <w:rPr>
          <w:rFonts w:hint="eastAsia" w:hAnsi="宋体"/>
          <w:kern w:val="0"/>
          <w:sz w:val="28"/>
          <w:szCs w:val="30"/>
          <w:highlight w:val="none"/>
          <w:lang w:val="en-US" w:eastAsia="zh-CN"/>
        </w:rPr>
        <w:t xml:space="preserve">  </w:t>
      </w:r>
      <w:r>
        <w:rPr>
          <w:rFonts w:hint="eastAsia" w:hAnsi="宋体"/>
          <w:kern w:val="0"/>
          <w:sz w:val="28"/>
          <w:szCs w:val="30"/>
          <w:highlight w:val="none"/>
        </w:rPr>
        <w:t>名</w:t>
      </w:r>
      <w:r>
        <w:rPr>
          <w:rFonts w:hint="eastAsia" w:hAnsi="宋体"/>
          <w:kern w:val="0"/>
          <w:sz w:val="28"/>
          <w:szCs w:val="30"/>
          <w:highlight w:val="none"/>
          <w:lang w:val="en-US" w:eastAsia="zh-CN"/>
        </w:rPr>
        <w:t xml:space="preserve">  </w:t>
      </w:r>
      <w:r>
        <w:rPr>
          <w:rFonts w:hint="eastAsia" w:hAnsi="宋体"/>
          <w:kern w:val="0"/>
          <w:sz w:val="28"/>
          <w:szCs w:val="30"/>
        </w:rPr>
        <w:t>：</w:t>
      </w:r>
      <w:r>
        <w:rPr>
          <w:rFonts w:hint="eastAsia" w:hAnsi="宋体"/>
          <w:kern w:val="0"/>
          <w:sz w:val="28"/>
          <w:szCs w:val="30"/>
          <w:u w:val="single"/>
        </w:rPr>
        <w:t>　　　　　</w:t>
      </w:r>
      <w:r>
        <w:rPr>
          <w:rFonts w:hint="eastAsia" w:hAnsi="宋体"/>
          <w:kern w:val="0"/>
          <w:sz w:val="28"/>
          <w:szCs w:val="30"/>
          <w:u w:val="single"/>
          <w:lang w:val="en-US" w:eastAsia="zh-CN"/>
        </w:rPr>
        <w:t xml:space="preserve">   李二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证件类型：</w:t>
      </w:r>
      <w:r>
        <w:rPr>
          <w:rFonts w:hint="eastAsia" w:hAnsi="宋体"/>
          <w:kern w:val="0"/>
          <w:sz w:val="28"/>
          <w:szCs w:val="30"/>
          <w:u w:val="single"/>
        </w:rPr>
        <w:t>　　</w:t>
      </w:r>
      <w:r>
        <w:rPr>
          <w:rFonts w:hint="eastAsia" w:hAnsi="宋体"/>
          <w:kern w:val="0"/>
          <w:sz w:val="28"/>
          <w:szCs w:val="30"/>
          <w:u w:val="single"/>
          <w:lang w:val="en-US" w:eastAsia="zh-CN"/>
        </w:rPr>
        <w:t xml:space="preserve">        身份证</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证</w:t>
      </w:r>
      <w:r>
        <w:rPr>
          <w:rFonts w:hint="eastAsia" w:hAnsi="宋体"/>
          <w:kern w:val="0"/>
          <w:sz w:val="28"/>
          <w:szCs w:val="30"/>
          <w:lang w:val="en-US" w:eastAsia="zh-CN"/>
        </w:rPr>
        <w:t xml:space="preserve"> </w:t>
      </w:r>
      <w:r>
        <w:rPr>
          <w:rFonts w:hint="eastAsia" w:hAnsi="宋体"/>
          <w:kern w:val="0"/>
          <w:sz w:val="28"/>
          <w:szCs w:val="30"/>
        </w:rPr>
        <w:t>件</w:t>
      </w:r>
      <w:r>
        <w:rPr>
          <w:rFonts w:hint="eastAsia" w:hAnsi="宋体"/>
          <w:kern w:val="0"/>
          <w:sz w:val="28"/>
          <w:szCs w:val="30"/>
          <w:lang w:val="en-US" w:eastAsia="zh-CN"/>
        </w:rPr>
        <w:t xml:space="preserve"> </w:t>
      </w:r>
      <w:r>
        <w:rPr>
          <w:rFonts w:hint="eastAsia" w:hAnsi="宋体"/>
          <w:kern w:val="0"/>
          <w:sz w:val="28"/>
          <w:szCs w:val="30"/>
        </w:rPr>
        <w:t>号：</w:t>
      </w:r>
      <w:r>
        <w:rPr>
          <w:rFonts w:hint="eastAsia" w:hAnsi="宋体"/>
          <w:kern w:val="0"/>
          <w:sz w:val="28"/>
          <w:szCs w:val="30"/>
          <w:u w:val="single"/>
        </w:rPr>
        <w:t>　</w:t>
      </w:r>
      <w:r>
        <w:rPr>
          <w:rFonts w:hint="eastAsia" w:hAnsi="宋体"/>
          <w:kern w:val="0"/>
          <w:sz w:val="28"/>
          <w:szCs w:val="30"/>
          <w:u w:val="single"/>
          <w:lang w:val="en-US" w:eastAsia="zh-CN"/>
        </w:rPr>
        <w:t xml:space="preserve">    </w:t>
      </w:r>
      <w:r>
        <w:rPr>
          <w:rFonts w:hint="eastAsia" w:hAnsi="宋体"/>
          <w:kern w:val="0"/>
          <w:sz w:val="28"/>
          <w:szCs w:val="30"/>
          <w:u w:val="single"/>
        </w:rPr>
        <w:t>　XXXXXXXXXXXXX</w:t>
      </w:r>
      <w:r>
        <w:rPr>
          <w:rFonts w:hint="eastAsia" w:hAnsi="宋体"/>
          <w:kern w:val="0"/>
          <w:sz w:val="28"/>
          <w:szCs w:val="30"/>
          <w:u w:val="single"/>
          <w:lang w:val="en-US" w:eastAsia="zh-CN"/>
        </w:rPr>
        <w:t xml:space="preserve">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lang w:val="en-US" w:eastAsia="zh-CN"/>
        </w:rPr>
        <w:t xml:space="preserve">12345678901 </w:t>
      </w:r>
      <w:r>
        <w:rPr>
          <w:rFonts w:hint="eastAsia" w:hAnsi="宋体"/>
          <w:kern w:val="0"/>
          <w:sz w:val="28"/>
          <w:szCs w:val="30"/>
          <w:u w:val="single"/>
        </w:rPr>
        <w:t>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r>
        <w:rPr>
          <w:rFonts w:hint="eastAsia" w:ascii="黑体" w:hAnsi="黑体" w:eastAsia="黑体"/>
          <w:kern w:val="0"/>
          <w:sz w:val="32"/>
          <w:szCs w:val="32"/>
          <w:highlight w:val="none"/>
        </w:rPr>
        <w:t>行政审批</w:t>
      </w:r>
      <w:r>
        <w:rPr>
          <w:rFonts w:hint="eastAsia" w:ascii="黑体" w:hAnsi="黑体" w:eastAsia="黑体"/>
          <w:kern w:val="0"/>
          <w:sz w:val="32"/>
          <w:szCs w:val="32"/>
          <w:highlight w:val="none"/>
          <w:lang w:eastAsia="zh-CN"/>
        </w:rPr>
        <w:t>部门</w:t>
      </w:r>
      <w:r>
        <w:rPr>
          <w:rFonts w:hint="eastAsia" w:hAnsi="宋体"/>
          <w:kern w:val="0"/>
          <w:sz w:val="32"/>
          <w:szCs w:val="32"/>
          <w:highlight w:val="none"/>
        </w:rPr>
        <w:t>：</w:t>
      </w:r>
      <w:r>
        <w:rPr>
          <w:rFonts w:hint="eastAsia" w:hAnsi="宋体"/>
          <w:kern w:val="0"/>
          <w:sz w:val="28"/>
          <w:szCs w:val="30"/>
          <w:highlight w:val="none"/>
        </w:rPr>
        <w:t>上海市市场监督管理局</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Ansi="宋体"/>
          <w:kern w:val="0"/>
          <w:sz w:val="28"/>
          <w:szCs w:val="30"/>
          <w:highlight w:val="none"/>
        </w:rPr>
      </w:pPr>
      <w:r>
        <w:rPr>
          <w:rFonts w:hint="eastAsia" w:hAnsi="宋体"/>
          <w:kern w:val="0"/>
          <w:sz w:val="28"/>
          <w:szCs w:val="30"/>
          <w:highlight w:val="none"/>
        </w:rPr>
        <w:t>联系人姓名：</w:t>
      </w:r>
      <w:r>
        <w:rPr>
          <w:rFonts w:hint="eastAsia" w:hAnsi="宋体"/>
          <w:kern w:val="0"/>
          <w:sz w:val="28"/>
          <w:szCs w:val="30"/>
          <w:highlight w:val="none"/>
          <w:u w:val="single"/>
        </w:rPr>
        <w:t>　　王一　　　　　　　　　　　</w:t>
      </w:r>
    </w:p>
    <w:p>
      <w:pPr>
        <w:keepNext w:val="0"/>
        <w:keepLines w:val="0"/>
        <w:pageBreakBefore w:val="0"/>
        <w:widowControl w:val="0"/>
        <w:tabs>
          <w:tab w:val="left" w:pos="790"/>
          <w:tab w:val="left" w:pos="948"/>
        </w:tabs>
        <w:kinsoku/>
        <w:wordWrap/>
        <w:overflowPunct w:val="0"/>
        <w:topLinePunct w:val="0"/>
        <w:autoSpaceDE/>
        <w:autoSpaceDN/>
        <w:bidi w:val="0"/>
        <w:adjustRightInd w:val="0"/>
        <w:snapToGrid w:val="0"/>
        <w:spacing w:line="336" w:lineRule="auto"/>
        <w:ind w:left="1134"/>
        <w:textAlignment w:val="auto"/>
        <w:rPr>
          <w:rFonts w:hint="eastAsia" w:ascii="方正小标宋简体" w:hAnsi="宋体" w:eastAsia="方正小标宋简体"/>
          <w:kern w:val="0"/>
          <w:sz w:val="44"/>
          <w:szCs w:val="44"/>
          <w:highlight w:val="none"/>
        </w:rPr>
      </w:pPr>
      <w:r>
        <w:rPr>
          <w:rFonts w:hint="eastAsia" w:hAnsi="宋体"/>
          <w:kern w:val="0"/>
          <w:sz w:val="28"/>
          <w:szCs w:val="30"/>
          <w:highlight w:val="none"/>
        </w:rPr>
        <w:t>联系方式：</w:t>
      </w:r>
      <w:r>
        <w:rPr>
          <w:rFonts w:hint="eastAsia" w:hAnsi="宋体"/>
          <w:kern w:val="0"/>
          <w:sz w:val="28"/>
          <w:szCs w:val="30"/>
          <w:highlight w:val="none"/>
          <w:u w:val="single"/>
        </w:rPr>
        <w:t>　　　021-XXXXXXXX　　　　　　　</w:t>
      </w:r>
      <w:bookmarkStart w:id="0" w:name="_GoBack"/>
      <w:bookmarkEnd w:id="0"/>
      <w:r>
        <w:rPr>
          <w:rFonts w:hint="eastAsia" w:ascii="方正小标宋简体" w:hAnsi="宋体" w:eastAsia="方正小标宋简体"/>
          <w:kern w:val="0"/>
          <w:sz w:val="44"/>
          <w:szCs w:val="44"/>
          <w:highlight w:val="none"/>
        </w:rPr>
        <w:br w:type="page"/>
      </w:r>
    </w:p>
    <w:p>
      <w:pPr>
        <w:tabs>
          <w:tab w:val="left" w:pos="790"/>
        </w:tabs>
        <w:overflowPunct w:val="0"/>
        <w:adjustRightInd w:val="0"/>
        <w:snapToGrid w:val="0"/>
        <w:jc w:val="center"/>
        <w:rPr>
          <w:rFonts w:ascii="方正小标宋简体" w:hAnsi="宋体" w:eastAsia="方正小标宋简体"/>
          <w:kern w:val="0"/>
          <w:sz w:val="44"/>
          <w:szCs w:val="44"/>
          <w:highlight w:val="none"/>
        </w:rPr>
      </w:pPr>
      <w:r>
        <w:rPr>
          <w:rFonts w:hint="eastAsia" w:ascii="方正小标宋简体" w:hAnsi="宋体" w:eastAsia="方正小标宋简体"/>
          <w:kern w:val="0"/>
          <w:sz w:val="44"/>
          <w:szCs w:val="44"/>
          <w:highlight w:val="none"/>
        </w:rPr>
        <w:t>行政审批</w:t>
      </w:r>
      <w:r>
        <w:rPr>
          <w:rFonts w:hint="eastAsia" w:ascii="方正小标宋简体" w:hAnsi="宋体" w:eastAsia="方正小标宋简体"/>
          <w:kern w:val="0"/>
          <w:sz w:val="44"/>
          <w:szCs w:val="44"/>
          <w:highlight w:val="none"/>
          <w:lang w:eastAsia="zh-CN"/>
        </w:rPr>
        <w:t>部门</w:t>
      </w:r>
      <w:r>
        <w:rPr>
          <w:rFonts w:hint="eastAsia" w:ascii="方正小标宋简体" w:hAnsi="宋体" w:eastAsia="方正小标宋简体"/>
          <w:kern w:val="0"/>
          <w:sz w:val="44"/>
          <w:szCs w:val="44"/>
          <w:highlight w:val="none"/>
        </w:rPr>
        <w:t>的告知</w:t>
      </w:r>
    </w:p>
    <w:p>
      <w:pPr>
        <w:tabs>
          <w:tab w:val="left" w:pos="790"/>
          <w:tab w:val="left" w:pos="1264"/>
        </w:tabs>
        <w:overflowPunct w:val="0"/>
        <w:adjustRightInd w:val="0"/>
        <w:snapToGrid w:val="0"/>
        <w:spacing w:line="336" w:lineRule="auto"/>
        <w:ind w:firstLine="624"/>
        <w:rPr>
          <w:rFonts w:hAnsi="宋体"/>
          <w:kern w:val="0"/>
          <w:szCs w:val="30"/>
          <w:highlight w:val="none"/>
        </w:rPr>
      </w:pP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按照《上海市行政审批告知承诺管理办法》，本行政审批</w:t>
      </w:r>
      <w:r>
        <w:rPr>
          <w:rFonts w:hint="eastAsia" w:hAnsi="宋体"/>
          <w:kern w:val="0"/>
          <w:szCs w:val="30"/>
          <w:highlight w:val="none"/>
          <w:lang w:eastAsia="zh-CN"/>
        </w:rPr>
        <w:t>部门</w:t>
      </w:r>
      <w:r>
        <w:rPr>
          <w:rFonts w:hint="eastAsia" w:hAnsi="宋体"/>
          <w:kern w:val="0"/>
          <w:szCs w:val="30"/>
          <w:highlight w:val="none"/>
        </w:rPr>
        <w:t>就行政审批事项告知如下：</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一、审批依据</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本行政审批事项的依据为：</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1．《中华人民共和国计量法》（2018年全国人大常委会第六次会议《关于修改〈中华人民共和国野生动物保护法〉等十五部法律的决定》第五次修正）第六条</w:t>
      </w:r>
      <w:r>
        <w:rPr>
          <w:rFonts w:hint="eastAsia" w:hAnsi="宋体"/>
          <w:kern w:val="0"/>
          <w:szCs w:val="30"/>
          <w:highlight w:val="none"/>
          <w:lang w:val="en-US" w:eastAsia="zh-CN"/>
        </w:rPr>
        <w:t xml:space="preserve"> </w:t>
      </w:r>
      <w:r>
        <w:rPr>
          <w:rFonts w:hint="eastAsia" w:hAnsi="宋体"/>
          <w:kern w:val="0"/>
          <w:szCs w:val="30"/>
          <w:highlight w:val="none"/>
        </w:rPr>
        <w:t>县级以上地方人民政府计量行政部门根据本地区的需要,建立社会公用计量标准器具,经上级人民政府计量行政部门主持考核合格后使用。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第七条</w:t>
      </w:r>
      <w:r>
        <w:rPr>
          <w:rFonts w:hint="eastAsia" w:hAnsi="宋体"/>
          <w:kern w:val="0"/>
          <w:szCs w:val="30"/>
          <w:highlight w:val="none"/>
          <w:lang w:val="en-US" w:eastAsia="zh-CN"/>
        </w:rPr>
        <w:t xml:space="preserve"> </w:t>
      </w:r>
      <w:r>
        <w:rPr>
          <w:rFonts w:hint="eastAsia" w:hAnsi="宋体"/>
          <w:kern w:val="0"/>
          <w:szCs w:val="30"/>
          <w:highlight w:val="none"/>
        </w:rPr>
        <w:t>国务院有关主管部门和省、自治区、直辖市人民政府有关主管部门,根据本部门的特殊需要,可以建立本部门使用的计量标准器具,其各项最高计量标准器具经同级人民政府计量行政部门主持考核合格后使用。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第八条</w:t>
      </w:r>
      <w:r>
        <w:rPr>
          <w:rFonts w:hint="eastAsia" w:hAnsi="宋体"/>
          <w:kern w:val="0"/>
          <w:szCs w:val="30"/>
          <w:highlight w:val="none"/>
          <w:lang w:val="en-US" w:eastAsia="zh-CN"/>
        </w:rPr>
        <w:t xml:space="preserve"> </w:t>
      </w:r>
      <w:r>
        <w:rPr>
          <w:rFonts w:hint="eastAsia" w:hAnsi="宋体"/>
          <w:kern w:val="0"/>
          <w:szCs w:val="30"/>
          <w:highlight w:val="none"/>
        </w:rPr>
        <w:t>企业、事业单位根据需要,可以建立本单位使用的计量标准器具,其各项最高计量标准器具经有关人民政府计量行政部门主持考核合格后使用。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2.</w:t>
      </w:r>
      <w:r>
        <w:rPr>
          <w:rFonts w:hint="eastAsia" w:hAnsi="宋体"/>
          <w:kern w:val="0"/>
          <w:szCs w:val="30"/>
          <w:highlight w:val="none"/>
        </w:rPr>
        <w:t>《全国人民代表大会常务委员会关于授权国务院在营商环境创新试点城市暂时调整适用〈中华人民共和国计量法〉有关规定的决定》（2021年10月23日第十三届全国人民代表大会常务委员会第三十一次会议通过）：暂时调整适用《中华人民共和国计量法》第八条、第九条第一款的有关规定，对在北京、上海、重庆、杭州、广州、深圳等6个营商环境创新试点城市内的企业内部使用的最高计量标准器具由企业自主管理，不需计量行政部门考核发证，不再实行强制检定。调整后，营商环境创新试点城市加强对企业自主管理最高计量标准器具的指导和事中事后监管，确保满足计量溯源性要求和计量标准准确。</w:t>
      </w:r>
    </w:p>
    <w:p>
      <w:pPr>
        <w:tabs>
          <w:tab w:val="left" w:pos="790"/>
          <w:tab w:val="left" w:pos="1264"/>
        </w:tabs>
        <w:overflowPunct w:val="0"/>
        <w:adjustRightInd w:val="0"/>
        <w:snapToGrid w:val="0"/>
        <w:spacing w:line="336" w:lineRule="auto"/>
        <w:ind w:firstLine="624"/>
        <w:rPr>
          <w:rFonts w:hint="default" w:hAnsi="宋体" w:eastAsia="仿宋_GB2312"/>
          <w:kern w:val="0"/>
          <w:szCs w:val="30"/>
          <w:highlight w:val="none"/>
          <w:lang w:val="en-US" w:eastAsia="zh-CN"/>
        </w:rPr>
      </w:pPr>
      <w:r>
        <w:rPr>
          <w:rFonts w:hint="eastAsia" w:hAnsi="宋体"/>
          <w:kern w:val="0"/>
          <w:szCs w:val="30"/>
          <w:highlight w:val="none"/>
          <w:lang w:val="en-US" w:eastAsia="zh-CN"/>
        </w:rPr>
        <w:t>3.《全国人民代表大会常务委员会关于延长授权国务院在营商环境创新试点城市暂时调整适用〈中华人民共和国计量法〉有关规定期限的决定》（2024年11月8日第十四届全国人民代表大会常务委员会第十二次会议决定）：将2021年10月23日第十三届全国人民代表大会常务委员会第三十一次会议授权国务院在营商环境创新试点城市暂时调整适用《中华人民共和国计量法》有关规定的期限延长三年至2027年10月22日。</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4.</w:t>
      </w:r>
      <w:r>
        <w:rPr>
          <w:rFonts w:hint="eastAsia" w:hAnsi="宋体"/>
          <w:kern w:val="0"/>
          <w:szCs w:val="30"/>
          <w:highlight w:val="none"/>
        </w:rPr>
        <w:t>《中华人民共和国计量法实施细则》（2022年修正本）　　第七条 计量标准器具（简称计量标准，下同）的使用，必须具备下列条件：</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（一）经计量检定合格；</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（二）具有正常工作所需要的环境条件；</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（三）具有称职的保存、维护、使用人员；</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（四）具有完善的管理制度。</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第九条</w:t>
      </w:r>
      <w:r>
        <w:rPr>
          <w:rFonts w:hint="eastAsia" w:hAnsi="宋体"/>
          <w:kern w:val="0"/>
          <w:szCs w:val="30"/>
          <w:highlight w:val="none"/>
          <w:lang w:val="en-US" w:eastAsia="zh-CN"/>
        </w:rPr>
        <w:t xml:space="preserve"> </w:t>
      </w:r>
      <w:r>
        <w:rPr>
          <w:rFonts w:hint="eastAsia" w:hAnsi="宋体"/>
          <w:kern w:val="0"/>
          <w:szCs w:val="30"/>
          <w:highlight w:val="none"/>
        </w:rPr>
        <w:t>国务院有关主管部门和省、自治区、直辖市人民政府有关主管部门建立的本部门各项最高计量标准，经同级人民政府计量行政部门考核，符合本细则第七条规定条件并取得考核合格证的，由有关主管部门批准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第十条</w:t>
      </w:r>
      <w:r>
        <w:rPr>
          <w:rFonts w:hint="eastAsia" w:hAnsi="宋体"/>
          <w:kern w:val="0"/>
          <w:szCs w:val="30"/>
          <w:highlight w:val="none"/>
          <w:lang w:val="en-US" w:eastAsia="zh-CN"/>
        </w:rPr>
        <w:t xml:space="preserve"> </w:t>
      </w:r>
      <w:r>
        <w:rPr>
          <w:rFonts w:hint="eastAsia" w:hAnsi="宋体"/>
          <w:kern w:val="0"/>
          <w:szCs w:val="30"/>
          <w:highlight w:val="none"/>
        </w:rPr>
        <w:t>企业、事业单位建立本单位各项最高计量标准，须向与其主管部门同级的人民政府计量行政部门申请考核。乡镇申请考核单位向当地县级人民政府计量行政部门申请考核。经考核符合本细则第七条规定条件并取得考核合格证的，申请考核单位、事业单位方可使用，并向其主管部门备案。</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5.</w:t>
      </w:r>
      <w:r>
        <w:rPr>
          <w:rFonts w:hint="eastAsia" w:hAnsi="宋体"/>
          <w:kern w:val="0"/>
          <w:szCs w:val="30"/>
          <w:highlight w:val="none"/>
        </w:rPr>
        <w:t>《计量标准考核办法》第五条</w:t>
      </w:r>
      <w:r>
        <w:rPr>
          <w:rFonts w:hint="eastAsia" w:hAnsi="宋体"/>
          <w:kern w:val="0"/>
          <w:szCs w:val="30"/>
          <w:highlight w:val="none"/>
          <w:lang w:eastAsia="zh-CN"/>
        </w:rPr>
        <w:t>第二款</w:t>
      </w:r>
      <w:r>
        <w:rPr>
          <w:rFonts w:hint="eastAsia" w:hAnsi="宋体"/>
          <w:kern w:val="0"/>
          <w:szCs w:val="30"/>
          <w:highlight w:val="none"/>
          <w:lang w:val="en-US" w:eastAsia="zh-CN"/>
        </w:rPr>
        <w:t xml:space="preserve"> </w:t>
      </w:r>
      <w:r>
        <w:rPr>
          <w:rFonts w:hint="eastAsia" w:hAnsi="宋体"/>
          <w:kern w:val="0"/>
          <w:szCs w:val="30"/>
          <w:highlight w:val="none"/>
        </w:rPr>
        <w:t>国务院有关部门和省、自治区、直辖市有关部门建立的各项最高等级的计量标准，由同级的市场监督管理部门主持考核。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第五条</w:t>
      </w:r>
      <w:r>
        <w:rPr>
          <w:rFonts w:hint="eastAsia" w:hAnsi="宋体"/>
          <w:kern w:val="0"/>
          <w:szCs w:val="30"/>
          <w:highlight w:val="none"/>
          <w:lang w:eastAsia="zh-CN"/>
        </w:rPr>
        <w:t>第三款</w:t>
      </w:r>
      <w:r>
        <w:rPr>
          <w:rFonts w:hint="eastAsia" w:hAnsi="宋体"/>
          <w:kern w:val="0"/>
          <w:szCs w:val="30"/>
          <w:highlight w:val="none"/>
          <w:lang w:val="en-US" w:eastAsia="zh-CN"/>
        </w:rPr>
        <w:t xml:space="preserve"> </w:t>
      </w:r>
      <w:r>
        <w:rPr>
          <w:rFonts w:hint="eastAsia" w:hAnsi="宋体"/>
          <w:kern w:val="0"/>
          <w:szCs w:val="30"/>
          <w:highlight w:val="none"/>
        </w:rPr>
        <w:t>国务院有关部门所属的企业、事业单位建立的各项最高等级的计量标准，由国家市场监督管理总局主持考核；省、自治区、直辖市有关部门所属的企业、事业单位建立的各项最高等级的计量标准，由当地省级市场监督管理部门主持考核；无主管部门的企业单位建立的各项最高等级的计量标准，由该企业登记注册地的市场监督管理部门主持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第六条　进行计量标准考核，应当考核以下内容：</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一）计量标准器及配套设备齐全，计量标准器必须经法定或者计量授权的计量技术机构检定合格（没有计量检定规程的，应当通过校准、比对等方式，将量值溯源至国家计量基准或者社会公用计量标准），配套的计量设备经检定合格或者校准；</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（二）具备开展量值传递的计量检定规程或者技术规范和完整的技术资料；</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（三）具备符合计量检定规程或者技术规范并确保计量标准正常工作所需要的温度、湿度、防尘、防震、防腐蚀、抗干扰等环境条件和工作场地；</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（四）配备至少两名具有相应能力，并满足有关计量法律法规要求的计量检定或校准人员；</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（五）具有完善的运行、维护制度，包括实验室岗位责任制度，计量标准的保存、使用、维护制度，量值溯源制度，原始记录及证书核验制度，事故报告制度，计量标准技术档案管理制度等；</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（六）计量标准的稳定性和检定或者校准结果的重复性符合技术要求。</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lang w:val="en-US" w:eastAsia="zh-CN"/>
        </w:rPr>
        <w:t>6.</w:t>
      </w:r>
      <w:r>
        <w:rPr>
          <w:rFonts w:hint="eastAsia" w:hAnsi="宋体"/>
          <w:kern w:val="0"/>
          <w:szCs w:val="30"/>
          <w:highlight w:val="none"/>
        </w:rPr>
        <w:t>《上海市计量监督管理条例》第十一条</w:t>
      </w:r>
      <w:r>
        <w:rPr>
          <w:rFonts w:hint="eastAsia" w:hAnsi="宋体"/>
          <w:kern w:val="0"/>
          <w:szCs w:val="30"/>
          <w:highlight w:val="none"/>
          <w:lang w:val="en-US" w:eastAsia="zh-CN"/>
        </w:rPr>
        <w:t xml:space="preserve"> </w:t>
      </w:r>
      <w:r>
        <w:rPr>
          <w:rFonts w:hint="eastAsia" w:hAnsi="宋体"/>
          <w:kern w:val="0"/>
          <w:szCs w:val="30"/>
          <w:highlight w:val="none"/>
        </w:rPr>
        <w:t>社会公用计量标准器具应当按照国家有关规定进行考核。</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本市最高等级的社会公用计量标准器具，由国务院计量行政部门主持考核；其他等级的社会公用计量标准器具，由市计量行政部门主持考核。考核合格的，方可开展计量器具强制检定或者校准服务。</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经考核合格投入使用的社会公用计量标准器具，应当定期接受计量器具强制检定。</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第十二条</w:t>
      </w:r>
      <w:r>
        <w:rPr>
          <w:rFonts w:hint="eastAsia" w:hAnsi="宋体"/>
          <w:kern w:val="0"/>
          <w:szCs w:val="30"/>
          <w:highlight w:val="none"/>
          <w:lang w:val="en-US" w:eastAsia="zh-CN"/>
        </w:rPr>
        <w:t xml:space="preserve"> </w:t>
      </w:r>
      <w:r>
        <w:rPr>
          <w:rFonts w:hint="eastAsia" w:hAnsi="宋体"/>
          <w:kern w:val="0"/>
          <w:szCs w:val="30"/>
          <w:highlight w:val="none"/>
        </w:rPr>
        <w:t>计量检定机构进行强制检定所使用的计量标准器具应当经市计量行政部门组织考核合格后方可使用。</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计量器具制造企业以及定量包装商品生产企业建立的本企业最高等级的计量标准器具的管理，按照国家有关规定执行。</w:t>
      </w:r>
    </w:p>
    <w:p>
      <w:pPr>
        <w:tabs>
          <w:tab w:val="left" w:pos="790"/>
          <w:tab w:val="left" w:pos="1264"/>
        </w:tabs>
        <w:overflowPunct w:val="0"/>
        <w:adjustRightInd w:val="0"/>
        <w:snapToGrid w:val="0"/>
        <w:spacing w:line="336" w:lineRule="auto"/>
        <w:ind w:firstLine="624"/>
        <w:rPr>
          <w:rFonts w:hint="eastAsia" w:hAnsi="宋体" w:eastAsia="仿宋_GB2312"/>
          <w:kern w:val="0"/>
          <w:szCs w:val="30"/>
          <w:highlight w:val="none"/>
          <w:lang w:eastAsia="zh-CN"/>
        </w:rPr>
      </w:pPr>
      <w:r>
        <w:rPr>
          <w:rFonts w:hint="eastAsia" w:hAnsi="宋体"/>
          <w:kern w:val="0"/>
          <w:szCs w:val="30"/>
          <w:highlight w:val="none"/>
          <w:lang w:val="en-US" w:eastAsia="zh-CN"/>
        </w:rPr>
        <w:t>7</w:t>
      </w:r>
      <w:r>
        <w:rPr>
          <w:rFonts w:hint="eastAsia" w:hAnsi="宋体"/>
          <w:kern w:val="0"/>
          <w:szCs w:val="30"/>
          <w:highlight w:val="none"/>
        </w:rPr>
        <w:t>．《计量标准考核规范》（JJF 10</w:t>
      </w:r>
      <w:r>
        <w:rPr>
          <w:rFonts w:hint="eastAsia" w:hAnsi="宋体"/>
          <w:kern w:val="0"/>
          <w:szCs w:val="30"/>
          <w:highlight w:val="none"/>
          <w:lang w:val="en-US" w:eastAsia="zh-CN"/>
        </w:rPr>
        <w:t>33</w:t>
      </w:r>
      <w:r>
        <w:rPr>
          <w:rFonts w:hint="eastAsia" w:hAnsi="宋体"/>
          <w:kern w:val="0"/>
          <w:szCs w:val="30"/>
          <w:highlight w:val="none"/>
        </w:rPr>
        <w:t>—20</w:t>
      </w:r>
      <w:r>
        <w:rPr>
          <w:rFonts w:hint="eastAsia" w:hAnsi="宋体"/>
          <w:kern w:val="0"/>
          <w:szCs w:val="30"/>
          <w:highlight w:val="none"/>
          <w:lang w:val="en-US" w:eastAsia="zh-CN"/>
        </w:rPr>
        <w:t>23</w:t>
      </w:r>
      <w:r>
        <w:rPr>
          <w:rFonts w:hint="eastAsia" w:hAnsi="宋体"/>
          <w:kern w:val="0"/>
          <w:szCs w:val="30"/>
          <w:highlight w:val="none"/>
        </w:rPr>
        <w:t>）</w:t>
      </w:r>
      <w:r>
        <w:rPr>
          <w:rFonts w:hint="eastAsia" w:hAnsi="宋体"/>
          <w:kern w:val="0"/>
          <w:szCs w:val="30"/>
          <w:highlight w:val="none"/>
          <w:lang w:eastAsia="zh-CN"/>
        </w:rPr>
        <w:t>；</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lang w:val="en-US" w:eastAsia="zh-CN"/>
        </w:rPr>
        <w:t>8</w:t>
      </w:r>
      <w:r>
        <w:rPr>
          <w:rFonts w:hint="eastAsia" w:hAnsi="宋体"/>
          <w:kern w:val="0"/>
          <w:szCs w:val="30"/>
          <w:highlight w:val="none"/>
        </w:rPr>
        <w:t>．《上海市行政审批告知承诺管理办法》。</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二、法定条件</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申请机构应当符合《中华人民共和国计量法实施细则》第</w:t>
      </w:r>
      <w:r>
        <w:rPr>
          <w:rFonts w:hint="eastAsia" w:hAnsi="宋体"/>
          <w:kern w:val="0"/>
          <w:szCs w:val="30"/>
          <w:highlight w:val="none"/>
          <w:lang w:eastAsia="zh-CN"/>
        </w:rPr>
        <w:t>七</w:t>
      </w:r>
      <w:r>
        <w:rPr>
          <w:rFonts w:hint="eastAsia" w:hAnsi="宋体"/>
          <w:kern w:val="0"/>
          <w:szCs w:val="30"/>
          <w:highlight w:val="none"/>
        </w:rPr>
        <w:t>条和《计量标准考核办法》第</w:t>
      </w:r>
      <w:r>
        <w:rPr>
          <w:rFonts w:hint="eastAsia" w:hAnsi="宋体"/>
          <w:kern w:val="0"/>
          <w:szCs w:val="30"/>
          <w:highlight w:val="none"/>
          <w:lang w:eastAsia="zh-CN"/>
        </w:rPr>
        <w:t>六</w:t>
      </w:r>
      <w:r>
        <w:rPr>
          <w:rFonts w:hint="eastAsia" w:hAnsi="宋体"/>
          <w:kern w:val="0"/>
          <w:szCs w:val="30"/>
          <w:highlight w:val="none"/>
        </w:rPr>
        <w:t>条的条件。</w:t>
      </w:r>
    </w:p>
    <w:p>
      <w:pPr>
        <w:tabs>
          <w:tab w:val="left" w:pos="790"/>
          <w:tab w:val="left" w:pos="1264"/>
        </w:tabs>
        <w:overflowPunct w:val="0"/>
        <w:adjustRightInd w:val="0"/>
        <w:snapToGrid w:val="0"/>
        <w:spacing w:line="336" w:lineRule="auto"/>
        <w:ind w:firstLine="624"/>
        <w:rPr>
          <w:rFonts w:ascii="黑体" w:hAnsi="黑体" w:eastAsia="黑体"/>
          <w:kern w:val="0"/>
          <w:szCs w:val="30"/>
          <w:highlight w:val="none"/>
        </w:rPr>
      </w:pPr>
      <w:r>
        <w:rPr>
          <w:rFonts w:hint="eastAsia" w:ascii="黑体" w:hAnsi="黑体" w:eastAsia="黑体"/>
          <w:kern w:val="0"/>
          <w:szCs w:val="30"/>
          <w:highlight w:val="none"/>
        </w:rPr>
        <w:t>三、应当提交的材料</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rPr>
        <w:t>根据审批依据和法定条件，本行政审批事项获得批准，申请人应当根据申请类型提交下列材料：</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highlight w:val="none"/>
        </w:rPr>
      </w:pPr>
      <w:r>
        <w:rPr>
          <w:rFonts w:hint="eastAsia" w:ascii="楷体_GB2312" w:hAnsi="宋体" w:eastAsia="楷体_GB2312"/>
          <w:kern w:val="0"/>
          <w:szCs w:val="30"/>
          <w:highlight w:val="none"/>
        </w:rPr>
        <w:t>（一）延续（复查）申请材料目录</w:t>
      </w:r>
    </w:p>
    <w:p>
      <w:pPr>
        <w:tabs>
          <w:tab w:val="left" w:pos="790"/>
          <w:tab w:val="left" w:pos="1264"/>
        </w:tabs>
        <w:overflowPunct w:val="0"/>
        <w:adjustRightInd w:val="0"/>
        <w:snapToGrid w:val="0"/>
        <w:spacing w:line="336" w:lineRule="auto"/>
        <w:ind w:firstLine="624"/>
        <w:rPr>
          <w:rFonts w:hint="eastAsia" w:hAnsi="宋体"/>
          <w:kern w:val="0"/>
          <w:szCs w:val="30"/>
          <w:highlight w:val="none"/>
        </w:rPr>
      </w:pPr>
      <w:r>
        <w:rPr>
          <w:rFonts w:hint="eastAsia" w:hAnsi="宋体"/>
          <w:kern w:val="0"/>
          <w:szCs w:val="30"/>
          <w:highlight w:val="none"/>
        </w:rPr>
        <w:t>1</w:t>
      </w:r>
      <w:r>
        <w:rPr>
          <w:rFonts w:hint="eastAsia" w:hAnsi="宋体"/>
          <w:kern w:val="0"/>
          <w:sz w:val="28"/>
          <w:szCs w:val="28"/>
          <w:highlight w:val="none"/>
        </w:rPr>
        <w:t>．</w:t>
      </w:r>
      <w:r>
        <w:rPr>
          <w:rFonts w:hint="eastAsia" w:hAnsi="宋体"/>
          <w:kern w:val="0"/>
          <w:szCs w:val="32"/>
          <w:highlight w:val="none"/>
        </w:rPr>
        <w:t>《</w:t>
      </w:r>
      <w:r>
        <w:rPr>
          <w:rFonts w:hint="eastAsia" w:hAnsi="宋体"/>
          <w:kern w:val="0"/>
          <w:szCs w:val="30"/>
          <w:highlight w:val="none"/>
        </w:rPr>
        <w:t>计量标准考核(复查)申请书</w:t>
      </w:r>
      <w:r>
        <w:rPr>
          <w:rFonts w:hint="eastAsia" w:hAnsi="宋体"/>
          <w:kern w:val="0"/>
          <w:szCs w:val="32"/>
          <w:highlight w:val="none"/>
        </w:rPr>
        <w:t>》</w:t>
      </w:r>
      <w:r>
        <w:rPr>
          <w:rFonts w:hint="eastAsia" w:hAnsi="宋体"/>
          <w:kern w:val="0"/>
          <w:szCs w:val="30"/>
          <w:highlight w:val="none"/>
        </w:rPr>
        <w:t>；</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2.</w:t>
      </w:r>
      <w:r>
        <w:rPr>
          <w:rFonts w:hint="eastAsia" w:hAnsi="宋体"/>
          <w:kern w:val="0"/>
          <w:szCs w:val="30"/>
          <w:highlight w:val="none"/>
        </w:rPr>
        <w:t>计量标准技术报告</w:t>
      </w:r>
      <w:r>
        <w:rPr>
          <w:rFonts w:hint="eastAsia" w:hAnsi="宋体"/>
          <w:kern w:val="0"/>
          <w:szCs w:val="30"/>
          <w:highlight w:val="none"/>
          <w:lang w:val="en-US" w:eastAsia="zh-CN"/>
        </w:rPr>
        <w:t>;</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3.检定或校准人员能力证明；</w:t>
      </w:r>
    </w:p>
    <w:p>
      <w:pPr>
        <w:tabs>
          <w:tab w:val="left" w:pos="790"/>
          <w:tab w:val="left" w:pos="1264"/>
        </w:tabs>
        <w:overflowPunct w:val="0"/>
        <w:adjustRightInd w:val="0"/>
        <w:snapToGrid w:val="0"/>
        <w:spacing w:line="336" w:lineRule="auto"/>
        <w:ind w:firstLine="624"/>
        <w:rPr>
          <w:rFonts w:hint="eastAsia" w:hAnsi="宋体"/>
          <w:kern w:val="0"/>
          <w:szCs w:val="30"/>
          <w:highlight w:val="none"/>
          <w:lang w:val="en-US" w:eastAsia="zh-CN"/>
        </w:rPr>
      </w:pPr>
      <w:r>
        <w:rPr>
          <w:rFonts w:hint="eastAsia" w:hAnsi="宋体"/>
          <w:kern w:val="0"/>
          <w:szCs w:val="30"/>
          <w:highlight w:val="none"/>
          <w:lang w:val="en-US" w:eastAsia="zh-CN"/>
        </w:rPr>
        <w:t>4.计量标准考核证书有效期内计量标准器及主要配套设备的有效检定证书（若无检定规程，可提供校准证书）；</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kern w:val="0"/>
          <w:szCs w:val="30"/>
          <w:highlight w:val="none"/>
          <w:lang w:val="en-US" w:eastAsia="zh-CN"/>
        </w:rPr>
        <w:t>5.</w:t>
      </w:r>
      <w:r>
        <w:rPr>
          <w:rFonts w:hint="eastAsia" w:hAnsi="宋体"/>
          <w:kern w:val="0"/>
          <w:szCs w:val="30"/>
          <w:highlight w:val="none"/>
        </w:rPr>
        <w:t>《告知承诺书》。</w:t>
      </w:r>
    </w:p>
    <w:p>
      <w:pPr>
        <w:tabs>
          <w:tab w:val="left" w:pos="790"/>
          <w:tab w:val="left" w:pos="1264"/>
        </w:tabs>
        <w:overflowPunct w:val="0"/>
        <w:adjustRightInd w:val="0"/>
        <w:snapToGrid w:val="0"/>
        <w:spacing w:line="336" w:lineRule="auto"/>
        <w:ind w:firstLine="624"/>
        <w:rPr>
          <w:rFonts w:ascii="黑体" w:hAnsi="黑体" w:eastAsia="黑体" w:cs="宋体"/>
          <w:kern w:val="0"/>
          <w:szCs w:val="32"/>
          <w:highlight w:val="none"/>
        </w:rPr>
      </w:pPr>
      <w:r>
        <w:rPr>
          <w:rFonts w:hint="eastAsia" w:ascii="黑体" w:hAnsi="黑体" w:eastAsia="黑体"/>
          <w:kern w:val="0"/>
          <w:szCs w:val="30"/>
          <w:highlight w:val="none"/>
        </w:rPr>
        <w:t>四、</w:t>
      </w:r>
      <w:r>
        <w:rPr>
          <w:rFonts w:hint="eastAsia" w:ascii="黑体" w:hAnsi="黑体" w:eastAsia="黑体" w:cs="宋体"/>
          <w:kern w:val="0"/>
          <w:szCs w:val="32"/>
          <w:highlight w:val="none"/>
        </w:rPr>
        <w:t>承诺的期限和效力</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申请人愿意作出承诺的，行政审批机关先予受理，作出审批决定。</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申请人作出符合上述申请条件的承诺，并提交签章的告知承诺书后，行政审批</w:t>
      </w:r>
      <w:r>
        <w:rPr>
          <w:rFonts w:hint="eastAsia" w:hAnsi="宋体" w:cs="宋体"/>
          <w:kern w:val="0"/>
          <w:szCs w:val="32"/>
          <w:highlight w:val="none"/>
          <w:lang w:eastAsia="zh-CN"/>
        </w:rPr>
        <w:t>部门</w:t>
      </w:r>
      <w:r>
        <w:rPr>
          <w:rFonts w:hint="eastAsia" w:hAnsi="宋体" w:cs="宋体"/>
          <w:kern w:val="0"/>
          <w:szCs w:val="32"/>
          <w:highlight w:val="none"/>
        </w:rPr>
        <w:t>将作出行政审批决定。申请人逾期不作出承诺的，行政审批机关将按照法律、法规和规章的有关规定实施行政审批。申请人作出不实承诺的，行政审批机关将依法作出处理，并由申请人依法承担相应的法律责任。</w:t>
      </w:r>
    </w:p>
    <w:p>
      <w:pPr>
        <w:shd w:val="clear" w:color="auto" w:fill="FFFFFF"/>
        <w:adjustRightInd w:val="0"/>
        <w:snapToGrid w:val="0"/>
        <w:spacing w:line="336" w:lineRule="auto"/>
        <w:ind w:firstLine="624"/>
        <w:rPr>
          <w:rFonts w:ascii="黑体" w:hAnsi="黑体" w:eastAsia="黑体" w:cs="宋体"/>
          <w:kern w:val="0"/>
          <w:szCs w:val="32"/>
          <w:highlight w:val="none"/>
        </w:rPr>
      </w:pPr>
      <w:r>
        <w:rPr>
          <w:rFonts w:hint="eastAsia" w:ascii="黑体" w:hAnsi="黑体" w:eastAsia="黑体" w:cs="宋体"/>
          <w:kern w:val="0"/>
          <w:szCs w:val="32"/>
          <w:highlight w:val="none"/>
        </w:rPr>
        <w:t>五、监督和法律责任</w:t>
      </w:r>
    </w:p>
    <w:p>
      <w:pPr>
        <w:shd w:val="clear" w:color="auto" w:fill="FFFFFF"/>
        <w:adjustRightInd w:val="0"/>
        <w:snapToGrid w:val="0"/>
        <w:spacing w:line="336" w:lineRule="auto"/>
        <w:ind w:firstLine="624"/>
        <w:rPr>
          <w:rFonts w:hint="eastAsia" w:hAnsi="宋体" w:cs="宋体"/>
          <w:kern w:val="0"/>
          <w:szCs w:val="32"/>
          <w:highlight w:val="none"/>
        </w:rPr>
      </w:pPr>
      <w:r>
        <w:rPr>
          <w:rFonts w:hint="eastAsia" w:hAnsi="宋体" w:cs="宋体"/>
          <w:kern w:val="0"/>
          <w:szCs w:val="32"/>
          <w:highlight w:val="none"/>
        </w:rPr>
        <w:t>本行政审批机关将在作出准予行政审批决定后2个月内对申请人的承诺内容是否属实进行检查。发现被审批人实际情况与承诺内容不符，行政审批机关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highlight w:val="none"/>
          <w:lang w:eastAsia="zh-CN"/>
        </w:rPr>
      </w:pPr>
      <w:r>
        <w:rPr>
          <w:rFonts w:hint="eastAsia" w:ascii="黑体" w:hAnsi="黑体" w:eastAsia="黑体" w:cs="黑体"/>
          <w:sz w:val="32"/>
          <w:szCs w:val="30"/>
          <w:highlight w:val="none"/>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highlight w:val="none"/>
          <w:lang w:eastAsia="zh-CN"/>
        </w:rPr>
      </w:pPr>
      <w:r>
        <w:rPr>
          <w:rFonts w:hint="eastAsia" w:ascii="楷体_GB2312" w:hAnsi="楷体_GB2312" w:eastAsia="楷体_GB2312" w:cs="楷体_GB2312"/>
          <w:sz w:val="32"/>
          <w:szCs w:val="30"/>
          <w:highlight w:val="none"/>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highlight w:val="none"/>
          <w:lang w:val="en-US" w:eastAsia="zh-CN"/>
        </w:rPr>
      </w:pPr>
      <w:r>
        <w:rPr>
          <w:rFonts w:hint="eastAsia" w:ascii="仿宋_GB2312" w:hAnsi="宋体" w:eastAsia="仿宋_GB2312" w:cs="仿宋_GB2312"/>
          <w:sz w:val="32"/>
          <w:szCs w:val="30"/>
          <w:highlight w:val="none"/>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highlight w:val="none"/>
          <w:lang w:val="en-US" w:eastAsia="zh-CN"/>
        </w:rPr>
        <w:t>2.</w:t>
      </w:r>
      <w:r>
        <w:rPr>
          <w:rFonts w:hint="eastAsia" w:ascii="仿宋_GB2312" w:hAnsi="宋体" w:eastAsia="仿宋_GB2312" w:cs="仿宋_GB2312"/>
          <w:sz w:val="32"/>
          <w:szCs w:val="30"/>
          <w:highlight w:val="none"/>
        </w:rPr>
        <w:t>申请人应当在本告知承诺书约定的期限</w:t>
      </w:r>
      <w:r>
        <w:rPr>
          <w:rFonts w:hint="eastAsia" w:ascii="仿宋_GB2312" w:hAnsi="宋体" w:eastAsia="仿宋_GB2312" w:cs="仿宋_GB2312"/>
          <w:sz w:val="32"/>
          <w:szCs w:val="30"/>
        </w:rPr>
        <w:t>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（三）申请人违反承诺被记入诚信档案或上海市公共信用信息服务平台之日起</w:t>
      </w:r>
      <w:r>
        <w:rPr>
          <w:rFonts w:hint="eastAsia" w:ascii="楷体_GB2312" w:hAnsi="楷体_GB2312" w:eastAsia="楷体_GB2312" w:cs="楷体_GB2312"/>
          <w:sz w:val="32"/>
          <w:szCs w:val="30"/>
          <w:u w:val="single"/>
          <w:lang w:val="en-US" w:eastAsia="zh-CN"/>
        </w:rPr>
        <w:t>（一般不超过3年）</w:t>
      </w:r>
      <w:r>
        <w:rPr>
          <w:rFonts w:hint="eastAsia" w:ascii="楷体_GB2312" w:hAnsi="楷体_GB2312" w:eastAsia="楷体_GB2312" w:cs="楷体_GB2312"/>
          <w:sz w:val="32"/>
          <w:szCs w:val="30"/>
          <w:lang w:val="en-US" w:eastAsia="zh-CN"/>
        </w:rPr>
        <w:t>内，且尚未完成修复前，将不得适用告知承诺的行政审批方式。</w:t>
      </w:r>
    </w:p>
    <w:p>
      <w:pPr>
        <w:shd w:val="clear" w:color="auto" w:fill="FFFFFF"/>
        <w:adjustRightInd w:val="0"/>
        <w:snapToGrid w:val="0"/>
        <w:spacing w:line="336" w:lineRule="auto"/>
        <w:ind w:firstLine="624"/>
        <w:rPr>
          <w:rFonts w:hint="eastAsia" w:ascii="黑体" w:hAnsi="黑体" w:eastAsia="黑体" w:cs="宋体"/>
          <w:kern w:val="0"/>
          <w:szCs w:val="32"/>
          <w:highlight w:val="none"/>
        </w:rPr>
      </w:pPr>
      <w:r>
        <w:rPr>
          <w:rFonts w:hint="eastAsia" w:ascii="黑体" w:hAnsi="黑体" w:eastAsia="黑体" w:cs="宋体"/>
          <w:kern w:val="0"/>
          <w:szCs w:val="32"/>
          <w:highlight w:val="none"/>
          <w:lang w:eastAsia="zh-CN"/>
        </w:rPr>
        <w:t>七</w:t>
      </w:r>
      <w:r>
        <w:rPr>
          <w:rFonts w:hint="eastAsia" w:ascii="黑体" w:hAnsi="黑体" w:eastAsia="黑体" w:cs="宋体"/>
          <w:kern w:val="0"/>
          <w:szCs w:val="32"/>
          <w:highlight w:val="none"/>
        </w:rPr>
        <w:t>、承诺内容</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申请人自愿选择告知承诺方式办理行政审批事项，并作出下列承诺:</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1.所填写的基本信息真实、准确;</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2.已经知晓行政审批机关告知的全部内容;</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3.自身能够满足行政审批机关告知的条件、标准和技术要求;</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4.能够在约定期限内，提交行政审批机关告知的相关材料;</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5.配合行政审批机关进行事后核查;</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6.愿意承担不实承诺、违反承诺的法律责任;</w:t>
      </w:r>
    </w:p>
    <w:p>
      <w:pPr>
        <w:shd w:val="clear" w:color="auto" w:fill="FFFFFF"/>
        <w:adjustRightInd w:val="0"/>
        <w:snapToGrid w:val="0"/>
        <w:spacing w:line="336" w:lineRule="auto"/>
        <w:ind w:firstLine="624"/>
        <w:jc w:val="left"/>
        <w:rPr>
          <w:rFonts w:hint="eastAsia" w:hAnsi="宋体" w:cs="宋体"/>
          <w:kern w:val="0"/>
          <w:szCs w:val="32"/>
          <w:highlight w:val="none"/>
        </w:rPr>
      </w:pPr>
      <w:r>
        <w:rPr>
          <w:rFonts w:hint="eastAsia" w:hAnsi="宋体" w:cs="宋体"/>
          <w:kern w:val="0"/>
          <w:szCs w:val="32"/>
          <w:highlight w:val="none"/>
        </w:rPr>
        <w:t>7.所作承诺是申请人真实意思的表示。</w:t>
      </w:r>
    </w:p>
    <w:p>
      <w:pPr>
        <w:tabs>
          <w:tab w:val="left" w:pos="790"/>
          <w:tab w:val="left" w:pos="1264"/>
        </w:tabs>
        <w:overflowPunct w:val="0"/>
        <w:adjustRightInd w:val="0"/>
        <w:snapToGrid w:val="0"/>
        <w:spacing w:line="336" w:lineRule="auto"/>
        <w:ind w:firstLine="624"/>
        <w:rPr>
          <w:rFonts w:hAnsi="宋体"/>
          <w:kern w:val="0"/>
          <w:szCs w:val="30"/>
          <w:highlight w:val="none"/>
        </w:rPr>
      </w:pPr>
      <w:r>
        <w:rPr>
          <w:rFonts w:hint="eastAsia" w:hAnsi="宋体" w:cs="宋体"/>
          <w:kern w:val="0"/>
          <w:szCs w:val="32"/>
          <w:highlight w:val="none"/>
        </w:rPr>
        <w:br w:type="page"/>
      </w:r>
    </w:p>
    <w:p>
      <w:pPr>
        <w:tabs>
          <w:tab w:val="left" w:pos="790"/>
          <w:tab w:val="left" w:pos="1264"/>
        </w:tabs>
        <w:overflowPunct w:val="0"/>
        <w:adjustRightInd w:val="0"/>
        <w:snapToGrid w:val="0"/>
        <w:spacing w:line="336" w:lineRule="auto"/>
        <w:ind w:firstLine="624"/>
        <w:rPr>
          <w:rFonts w:hAnsi="宋体"/>
          <w:kern w:val="0"/>
          <w:szCs w:val="30"/>
          <w:highlight w:val="none"/>
        </w:rPr>
      </w:pPr>
    </w:p>
    <w:p>
      <w:pPr>
        <w:tabs>
          <w:tab w:val="left" w:pos="790"/>
          <w:tab w:val="left" w:pos="1264"/>
        </w:tabs>
        <w:overflowPunct w:val="0"/>
        <w:adjustRightInd w:val="0"/>
        <w:snapToGrid w:val="0"/>
        <w:spacing w:line="336" w:lineRule="auto"/>
        <w:ind w:firstLine="2528" w:firstLineChars="800"/>
        <w:jc w:val="both"/>
        <w:rPr>
          <w:rFonts w:hint="eastAsia" w:ascii="仿宋_GB2312" w:hAnsi="仿宋_GB2312" w:eastAsia="仿宋_GB2312" w:cs="仿宋_GB2312"/>
          <w:sz w:val="32"/>
          <w:szCs w:val="30"/>
          <w:lang w:eastAsia="zh-CN"/>
        </w:rPr>
      </w:pPr>
      <w:r>
        <w:rPr>
          <w:rFonts w:hint="eastAsia" w:ascii="仿宋_GB2312" w:hAnsi="仿宋_GB2312" w:eastAsia="仿宋_GB2312" w:cs="仿宋_GB2312"/>
          <w:sz w:val="32"/>
          <w:szCs w:val="30"/>
        </w:rPr>
        <w:t>申请人（委托代理人）：</w:t>
      </w:r>
      <w:r>
        <w:rPr>
          <w:rFonts w:hint="eastAsia" w:ascii="仿宋_GB2312" w:hAnsi="仿宋_GB2312" w:eastAsia="仿宋_GB2312" w:cs="仿宋_GB2312"/>
          <w:sz w:val="32"/>
          <w:szCs w:val="30"/>
          <w:lang w:eastAsia="zh-CN"/>
        </w:rPr>
        <w:t>李二</w:t>
      </w:r>
    </w:p>
    <w:p>
      <w:pPr>
        <w:tabs>
          <w:tab w:val="left" w:pos="790"/>
          <w:tab w:val="left" w:pos="1264"/>
        </w:tabs>
        <w:overflowPunct w:val="0"/>
        <w:adjustRightInd w:val="0"/>
        <w:snapToGrid w:val="0"/>
        <w:spacing w:line="336" w:lineRule="auto"/>
        <w:jc w:val="center"/>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 xml:space="preserve">   </w:t>
      </w:r>
      <w:r>
        <w:rPr>
          <w:rFonts w:hint="eastAsia" w:ascii="仿宋_GB2312" w:hAnsi="仿宋_GB2312" w:eastAsia="仿宋_GB2312" w:cs="仿宋_GB2312"/>
          <w:sz w:val="32"/>
          <w:szCs w:val="30"/>
        </w:rPr>
        <w:t>（签字盖章）</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36" w:lineRule="auto"/>
        <w:ind w:right="1264" w:rightChars="400"/>
        <w:jc w:val="center"/>
        <w:textAlignment w:val="auto"/>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 xml:space="preserve">                               2025</w:t>
      </w:r>
      <w:r>
        <w:rPr>
          <w:rFonts w:hint="eastAsia" w:ascii="仿宋_GB2312" w:hAnsi="仿宋_GB2312" w:eastAsia="仿宋_GB2312" w:cs="仿宋_GB2312"/>
          <w:sz w:val="32"/>
          <w:szCs w:val="30"/>
        </w:rPr>
        <w:t>年</w:t>
      </w:r>
      <w:r>
        <w:rPr>
          <w:rFonts w:hint="eastAsia" w:ascii="仿宋_GB2312" w:hAnsi="仿宋_GB2312" w:eastAsia="仿宋_GB2312" w:cs="仿宋_GB2312"/>
          <w:sz w:val="32"/>
          <w:szCs w:val="30"/>
          <w:lang w:val="en-US" w:eastAsia="zh-CN"/>
        </w:rPr>
        <w:t>9</w:t>
      </w:r>
      <w:r>
        <w:rPr>
          <w:rFonts w:hint="eastAsia" w:ascii="仿宋_GB2312" w:hAnsi="仿宋_GB2312" w:eastAsia="仿宋_GB2312" w:cs="仿宋_GB2312"/>
          <w:sz w:val="32"/>
          <w:szCs w:val="30"/>
        </w:rPr>
        <w:t>月</w:t>
      </w:r>
      <w:r>
        <w:rPr>
          <w:rFonts w:hint="eastAsia" w:ascii="仿宋_GB2312" w:hAnsi="仿宋_GB2312" w:eastAsia="仿宋_GB2312" w:cs="仿宋_GB2312"/>
          <w:sz w:val="32"/>
          <w:szCs w:val="30"/>
          <w:lang w:val="en-US" w:eastAsia="zh-CN"/>
        </w:rPr>
        <w:t>9</w:t>
      </w:r>
      <w:r>
        <w:rPr>
          <w:rFonts w:hint="eastAsia" w:ascii="仿宋_GB2312" w:hAnsi="仿宋_GB2312" w:eastAsia="仿宋_GB2312" w:cs="仿宋_GB2312"/>
          <w:sz w:val="32"/>
          <w:szCs w:val="30"/>
        </w:rPr>
        <w:t>日</w:t>
      </w:r>
    </w:p>
    <w:p>
      <w:pPr>
        <w:tabs>
          <w:tab w:val="left" w:pos="790"/>
          <w:tab w:val="left" w:pos="1264"/>
        </w:tabs>
        <w:overflowPunct w:val="0"/>
        <w:adjustRightInd w:val="0"/>
        <w:snapToGrid w:val="0"/>
        <w:ind w:firstLine="624"/>
        <w:rPr>
          <w:rFonts w:hint="eastAsia" w:ascii="仿宋_GB2312" w:hAnsi="仿宋_GB2312" w:eastAsia="仿宋_GB2312" w:cs="仿宋_GB2312"/>
          <w:kern w:val="0"/>
          <w:szCs w:val="30"/>
          <w:highlight w:val="none"/>
        </w:rPr>
      </w:pPr>
    </w:p>
    <w:p>
      <w:pPr>
        <w:tabs>
          <w:tab w:val="left" w:pos="790"/>
          <w:tab w:val="left" w:pos="1264"/>
        </w:tabs>
        <w:overflowPunct w:val="0"/>
        <w:adjustRightInd w:val="0"/>
        <w:snapToGrid w:val="0"/>
        <w:spacing w:line="336" w:lineRule="auto"/>
        <w:ind w:firstLine="624"/>
        <w:jc w:val="center"/>
        <w:rPr>
          <w:rFonts w:hint="eastAsia" w:ascii="仿宋_GB2312" w:hAnsi="仿宋_GB2312" w:eastAsia="仿宋_GB2312" w:cs="仿宋_GB2312"/>
          <w:kern w:val="0"/>
          <w:szCs w:val="30"/>
          <w:highlight w:val="none"/>
        </w:rPr>
      </w:pPr>
      <w:r>
        <w:rPr>
          <w:rFonts w:hint="eastAsia" w:ascii="仿宋_GB2312" w:hAnsi="仿宋_GB2312" w:eastAsia="仿宋_GB2312" w:cs="仿宋_GB2312"/>
          <w:kern w:val="0"/>
          <w:szCs w:val="30"/>
          <w:highlight w:val="none"/>
        </w:rPr>
        <w:t>（一式两份）</w:t>
      </w:r>
    </w:p>
    <w:p>
      <w:pPr>
        <w:rPr>
          <w:highlight w:val="none"/>
        </w:rPr>
      </w:pP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jc w:val="right"/>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7</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20</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4232"/>
    <w:rsid w:val="00184232"/>
    <w:rsid w:val="002D5769"/>
    <w:rsid w:val="003535E0"/>
    <w:rsid w:val="003A7E43"/>
    <w:rsid w:val="00745D4D"/>
    <w:rsid w:val="00783388"/>
    <w:rsid w:val="007D4F4A"/>
    <w:rsid w:val="00847396"/>
    <w:rsid w:val="00863DD0"/>
    <w:rsid w:val="00882129"/>
    <w:rsid w:val="008D75DE"/>
    <w:rsid w:val="008E5D6A"/>
    <w:rsid w:val="0095487B"/>
    <w:rsid w:val="009715CD"/>
    <w:rsid w:val="00AF6BF1"/>
    <w:rsid w:val="00B02143"/>
    <w:rsid w:val="00B147F6"/>
    <w:rsid w:val="00BE4D87"/>
    <w:rsid w:val="00C51160"/>
    <w:rsid w:val="00C77DAF"/>
    <w:rsid w:val="00CF60A9"/>
    <w:rsid w:val="00D55A36"/>
    <w:rsid w:val="00ED292A"/>
    <w:rsid w:val="00F23AB6"/>
    <w:rsid w:val="00F50469"/>
    <w:rsid w:val="00FA48D3"/>
    <w:rsid w:val="00FC25B4"/>
    <w:rsid w:val="00FC53C5"/>
    <w:rsid w:val="0199AA1D"/>
    <w:rsid w:val="3559580A"/>
    <w:rsid w:val="3A9D95BC"/>
    <w:rsid w:val="57F5FD25"/>
    <w:rsid w:val="57FA4039"/>
    <w:rsid w:val="5CF5C65C"/>
    <w:rsid w:val="5EFEF01E"/>
    <w:rsid w:val="6FF7C7EC"/>
    <w:rsid w:val="71F7280C"/>
    <w:rsid w:val="777AF3CB"/>
    <w:rsid w:val="77FD6EC3"/>
    <w:rsid w:val="7BFB3D03"/>
    <w:rsid w:val="7D0F909D"/>
    <w:rsid w:val="7DFFD5E4"/>
    <w:rsid w:val="7FC5139D"/>
    <w:rsid w:val="7FDFE5CE"/>
    <w:rsid w:val="96FDEC39"/>
    <w:rsid w:val="97ED9C63"/>
    <w:rsid w:val="B77F8D8B"/>
    <w:rsid w:val="BDAFDED1"/>
    <w:rsid w:val="BFFBA873"/>
    <w:rsid w:val="CB7F3E70"/>
    <w:rsid w:val="D5F36972"/>
    <w:rsid w:val="DD1F0BD5"/>
    <w:rsid w:val="DFDF817E"/>
    <w:rsid w:val="EB7EE790"/>
    <w:rsid w:val="EDFFA89D"/>
    <w:rsid w:val="EFF9C096"/>
    <w:rsid w:val="F7BE01E6"/>
    <w:rsid w:val="FECCD3E0"/>
    <w:rsid w:val="FEFD83DB"/>
    <w:rsid w:val="FEFEBA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link w:val="3"/>
    <w:qFormat/>
    <w:uiPriority w:val="99"/>
    <w:rPr>
      <w:sz w:val="18"/>
      <w:szCs w:val="18"/>
    </w:rPr>
  </w:style>
  <w:style w:type="character" w:customStyle="1" w:styleId="8">
    <w:name w:val="页脚 Char1"/>
    <w:basedOn w:val="6"/>
    <w:semiHidden/>
    <w:qFormat/>
    <w:uiPriority w:val="99"/>
    <w:rPr>
      <w:rFonts w:ascii="仿宋_GB2312" w:hAnsi="Times New Roman" w:eastAsia="仿宋_GB2312" w:cs="Times New Roman"/>
      <w:sz w:val="18"/>
      <w:szCs w:val="18"/>
    </w:rPr>
  </w:style>
  <w:style w:type="character" w:customStyle="1" w:styleId="9">
    <w:name w:val="批注框文本 Char"/>
    <w:basedOn w:val="6"/>
    <w:link w:val="2"/>
    <w:semiHidden/>
    <w:qFormat/>
    <w:uiPriority w:val="99"/>
    <w:rPr>
      <w:rFonts w:ascii="仿宋_GB2312" w:hAnsi="Times New Roman" w:eastAsia="仿宋_GB2312" w:cs="Times New Roman"/>
      <w:sz w:val="18"/>
      <w:szCs w:val="18"/>
    </w:rPr>
  </w:style>
  <w:style w:type="character" w:customStyle="1" w:styleId="10">
    <w:name w:val="页眉 Char"/>
    <w:basedOn w:val="6"/>
    <w:link w:val="4"/>
    <w:qFormat/>
    <w:uiPriority w:val="99"/>
    <w:rPr>
      <w:rFonts w:ascii="仿宋_GB2312" w:hAnsi="Times New Roman" w:eastAsia="仿宋_GB2312"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415</Words>
  <Characters>2366</Characters>
  <Lines>19</Lines>
  <Paragraphs>5</Paragraphs>
  <TotalTime>7</TotalTime>
  <ScaleCrop>false</ScaleCrop>
  <LinksUpToDate>false</LinksUpToDate>
  <CharactersWithSpaces>2776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2021-07-07T01:52:00Z</dcterms:created>
  <dc:creator>杨文昌</dc:creator>
  <cp:lastModifiedBy>scjgj</cp:lastModifiedBy>
  <dcterms:modified xsi:type="dcterms:W3CDTF">2025-09-24T11:03:29Z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