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61885"/>
            <wp:effectExtent l="0" t="0" r="5715" b="5715"/>
            <wp:docPr id="4" name="图片 4" descr="企业资质跨省变更申请报告（上海竣铭化工工程）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企业资质跨省变更申请报告（上海竣铭化工工程）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6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61885"/>
            <wp:effectExtent l="0" t="0" r="5715" b="5715"/>
            <wp:docPr id="3" name="图片 3" descr="企业资质跨省变更申请报告（上海竣铭化工工程）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企业资质跨省变更申请报告（上海竣铭化工工程）_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6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61885"/>
            <wp:effectExtent l="0" t="0" r="5715" b="5715"/>
            <wp:docPr id="2" name="图片 2" descr="企业资质跨省变更申请报告（上海竣铭化工工程）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企业资质跨省变更申请报告（上海竣铭化工工程）_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6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61885"/>
            <wp:effectExtent l="0" t="0" r="5715" b="5715"/>
            <wp:docPr id="1" name="图片 1" descr="企业资质跨省变更申请报告（上海竣铭化工工程）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企业资质跨省变更申请报告（上海竣铭化工工程）_0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6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490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wujinxing</dc:creator>
  <cp:lastModifiedBy>WPS_1509347498</cp:lastModifiedBy>
  <dcterms:modified xsi:type="dcterms:W3CDTF">2019-09-27T08:30:59Z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