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60" w:line="600" w:lineRule="exact"/>
        <w:rPr>
          <w:rFonts w:hint="eastAsia" w:ascii="宋体" w:hAnsi="宋体" w:eastAsia="宋体" w:cs="Times New Roman"/>
          <w:color w:val="auto"/>
          <w:sz w:val="24"/>
          <w:szCs w:val="24"/>
          <w:highlight w:val="none"/>
        </w:rPr>
        <w:sectPr>
          <w:footerReference r:id="rId5" w:type="default"/>
          <w:type w:val="continuous"/>
          <w:pgSz w:w="11900" w:h="16821"/>
          <w:pgMar w:top="2098" w:right="1531" w:bottom="1984" w:left="1531" w:header="0" w:footer="1202" w:gutter="0"/>
          <w:pgNumType w:fmt="decimal"/>
          <w:cols w:space="0" w:num="1"/>
          <w:formProt w:val="0"/>
          <w:rtlGutter w:val="0"/>
          <w:docGrid w:linePitch="312" w:charSpace="0"/>
        </w:sectPr>
      </w:pPr>
    </w:p>
    <w:p>
      <w:pPr>
        <w:widowControl w:val="0"/>
        <w:kinsoku/>
        <w:autoSpaceDE/>
        <w:autoSpaceDN/>
        <w:adjustRightInd/>
        <w:snapToGrid/>
        <w:spacing w:after="0" w:line="400" w:lineRule="exact"/>
        <w:jc w:val="center"/>
        <w:textAlignment w:val="auto"/>
        <w:rPr>
          <w:rFonts w:hint="eastAsia" w:ascii="n" w:hAnsi="n" w:eastAsia="方正小标宋简体" w:cs="Times New Roman"/>
          <w:snapToGrid/>
          <w:color w:val="auto"/>
          <w:kern w:val="2"/>
          <w:sz w:val="36"/>
          <w:szCs w:val="36"/>
          <w:highlight w:val="none"/>
          <w:lang w:eastAsia="zh-CN"/>
        </w:rPr>
      </w:pPr>
      <w:r>
        <w:rPr>
          <w:rFonts w:hint="eastAsia" w:ascii="n" w:hAnsi="n" w:eastAsia="方正小标宋简体" w:cs="Times New Roman"/>
          <w:snapToGrid/>
          <w:color w:val="auto"/>
          <w:kern w:val="2"/>
          <w:sz w:val="36"/>
          <w:szCs w:val="36"/>
          <w:highlight w:val="none"/>
          <w:lang w:eastAsia="zh-CN"/>
        </w:rPr>
        <w:t>上海市交通行政审批告知承诺书</w:t>
      </w:r>
    </w:p>
    <w:p>
      <w:pPr>
        <w:widowControl w:val="0"/>
        <w:kinsoku/>
        <w:autoSpaceDE/>
        <w:autoSpaceDN/>
        <w:adjustRightInd/>
        <w:snapToGrid/>
        <w:spacing w:after="0" w:line="400" w:lineRule="exact"/>
        <w:jc w:val="center"/>
        <w:textAlignment w:val="auto"/>
        <w:rPr>
          <w:rFonts w:hint="eastAsia" w:ascii="n" w:hAnsi="n" w:eastAsia="宋体" w:cs="Times New Roman"/>
          <w:snapToGrid/>
          <w:color w:val="auto"/>
          <w:kern w:val="2"/>
          <w:sz w:val="28"/>
          <w:szCs w:val="28"/>
          <w:highlight w:val="none"/>
          <w:lang w:eastAsia="zh-CN"/>
        </w:rPr>
      </w:pPr>
      <w:r>
        <w:rPr>
          <w:rFonts w:hint="eastAsia" w:ascii="n" w:hAnsi="宋体" w:eastAsia="宋体" w:cs="Times New Roman"/>
          <w:snapToGrid/>
          <w:color w:val="auto"/>
          <w:kern w:val="2"/>
          <w:sz w:val="28"/>
          <w:szCs w:val="28"/>
          <w:highlight w:val="none"/>
          <w:lang w:eastAsia="zh-CN"/>
        </w:rPr>
        <w:t>（道路普通货运经营许可）</w:t>
      </w:r>
    </w:p>
    <w:p>
      <w:pPr>
        <w:widowControl w:val="0"/>
        <w:kinsoku/>
        <w:autoSpaceDE/>
        <w:autoSpaceDN/>
        <w:adjustRightInd/>
        <w:snapToGrid/>
        <w:spacing w:after="0" w:line="400" w:lineRule="exact"/>
        <w:jc w:val="right"/>
        <w:textAlignment w:val="auto"/>
        <w:rPr>
          <w:rFonts w:hint="eastAsia" w:ascii="n" w:hAnsi="n" w:eastAsia="宋体" w:cs="Times New Roman"/>
          <w:snapToGrid/>
          <w:color w:val="auto"/>
          <w:kern w:val="2"/>
          <w:sz w:val="28"/>
          <w:szCs w:val="28"/>
          <w:highlight w:val="none"/>
          <w:lang w:eastAsia="zh-CN"/>
        </w:rPr>
      </w:pPr>
      <w:r>
        <w:rPr>
          <w:rFonts w:hint="eastAsia" w:ascii="n" w:hAnsi="宋体" w:eastAsia="宋体" w:cs="Times New Roman"/>
          <w:snapToGrid/>
          <w:color w:val="auto"/>
          <w:kern w:val="2"/>
          <w:sz w:val="28"/>
          <w:szCs w:val="28"/>
          <w:highlight w:val="none"/>
          <w:lang w:eastAsia="zh-CN"/>
        </w:rPr>
        <w:t>〔</w:t>
      </w:r>
      <w:r>
        <w:rPr>
          <w:rFonts w:hint="eastAsia" w:ascii="n" w:hAnsi="宋体" w:eastAsia="宋体" w:cs="Times New Roman"/>
          <w:snapToGrid/>
          <w:color w:val="auto"/>
          <w:kern w:val="2"/>
          <w:sz w:val="28"/>
          <w:szCs w:val="28"/>
          <w:highlight w:val="none"/>
          <w:lang w:val="en-US" w:eastAsia="zh-CN"/>
        </w:rPr>
        <w:t xml:space="preserve">   </w:t>
      </w:r>
      <w:r>
        <w:rPr>
          <w:rFonts w:hint="eastAsia" w:ascii="n" w:hAnsi="宋体" w:eastAsia="宋体" w:cs="Times New Roman"/>
          <w:snapToGrid/>
          <w:color w:val="auto"/>
          <w:kern w:val="2"/>
          <w:sz w:val="28"/>
          <w:szCs w:val="28"/>
          <w:highlight w:val="none"/>
          <w:lang w:eastAsia="zh-CN"/>
        </w:rPr>
        <w:t>年〕第</w:t>
      </w:r>
      <w:r>
        <w:rPr>
          <w:rFonts w:hint="eastAsia" w:ascii="n" w:hAnsi="宋体" w:eastAsia="宋体" w:cs="Times New Roman"/>
          <w:snapToGrid/>
          <w:color w:val="auto"/>
          <w:kern w:val="2"/>
          <w:sz w:val="28"/>
          <w:szCs w:val="28"/>
          <w:highlight w:val="none"/>
          <w:lang w:val="en-US" w:eastAsia="zh-CN"/>
        </w:rPr>
        <w:t xml:space="preserve">  </w:t>
      </w:r>
      <w:r>
        <w:rPr>
          <w:rFonts w:hint="eastAsia" w:ascii="n" w:hAnsi="宋体" w:eastAsia="宋体" w:cs="Times New Roman"/>
          <w:snapToGrid/>
          <w:color w:val="auto"/>
          <w:kern w:val="2"/>
          <w:sz w:val="28"/>
          <w:szCs w:val="28"/>
          <w:highlight w:val="none"/>
          <w:lang w:eastAsia="zh-CN"/>
        </w:rPr>
        <w:t>号</w:t>
      </w:r>
    </w:p>
    <w:p>
      <w:pPr>
        <w:widowControl w:val="0"/>
        <w:kinsoku/>
        <w:autoSpaceDE/>
        <w:autoSpaceDN/>
        <w:adjustRightInd/>
        <w:snapToGrid/>
        <w:spacing w:after="0" w:line="400" w:lineRule="exact"/>
        <w:jc w:val="both"/>
        <w:textAlignment w:val="auto"/>
        <w:rPr>
          <w:rFonts w:hint="eastAsia" w:ascii="n" w:hAnsi="n" w:eastAsia="楷体_GB2312" w:cs="Times New Roman"/>
          <w:snapToGrid/>
          <w:color w:val="auto"/>
          <w:kern w:val="2"/>
          <w:sz w:val="28"/>
          <w:szCs w:val="28"/>
          <w:highlight w:val="none"/>
          <w:lang w:eastAsia="zh-CN"/>
        </w:rPr>
      </w:pPr>
      <w:r>
        <w:rPr>
          <w:rFonts w:hint="eastAsia" w:ascii="n" w:hAnsi="n" w:eastAsia="楷体_GB2312" w:cs="Times New Roman"/>
          <w:snapToGrid/>
          <w:color w:val="auto"/>
          <w:kern w:val="2"/>
          <w:sz w:val="28"/>
          <w:szCs w:val="28"/>
          <w:highlight w:val="none"/>
          <w:lang w:eastAsia="zh-CN"/>
        </w:rPr>
        <w:t>申请人：</w:t>
      </w:r>
    </w:p>
    <w:p>
      <w:pPr>
        <w:widowControl w:val="0"/>
        <w:kinsoku/>
        <w:autoSpaceDE/>
        <w:autoSpaceDN/>
        <w:adjustRightInd/>
        <w:snapToGrid/>
        <w:spacing w:after="0" w:line="400" w:lineRule="exact"/>
        <w:jc w:val="both"/>
        <w:textAlignment w:val="auto"/>
        <w:rPr>
          <w:rFonts w:hint="eastAsia" w:ascii="n" w:hAnsi="n" w:eastAsia="楷体_GB2312" w:cs="Times New Roman"/>
          <w:snapToGrid/>
          <w:color w:val="auto"/>
          <w:kern w:val="2"/>
          <w:sz w:val="28"/>
          <w:szCs w:val="28"/>
          <w:highlight w:val="none"/>
          <w:lang w:eastAsia="zh-CN"/>
        </w:rPr>
      </w:pPr>
      <w:r>
        <w:rPr>
          <w:rFonts w:hint="eastAsia" w:ascii="n" w:hAnsi="n" w:eastAsia="楷体_GB2312" w:cs="Times New Roman"/>
          <w:snapToGrid/>
          <w:color w:val="auto"/>
          <w:kern w:val="2"/>
          <w:sz w:val="28"/>
          <w:szCs w:val="28"/>
          <w:highlight w:val="none"/>
          <w:lang w:eastAsia="zh-CN"/>
        </w:rPr>
        <w:t>（自然人）</w:t>
      </w:r>
    </w:p>
    <w:p>
      <w:pPr>
        <w:widowControl w:val="0"/>
        <w:kinsoku/>
        <w:autoSpaceDE/>
        <w:autoSpaceDN/>
        <w:adjustRightInd/>
        <w:snapToGrid/>
        <w:spacing w:after="0" w:line="400" w:lineRule="exact"/>
        <w:jc w:val="both"/>
        <w:textAlignment w:val="auto"/>
        <w:rPr>
          <w:rFonts w:hint="eastAsia" w:ascii="n" w:hAnsi="n" w:eastAsia="楷体_GB2312" w:cs="Times New Roman"/>
          <w:snapToGrid/>
          <w:color w:val="auto"/>
          <w:kern w:val="2"/>
          <w:sz w:val="28"/>
          <w:szCs w:val="28"/>
          <w:highlight w:val="none"/>
          <w:lang w:eastAsia="zh-CN"/>
        </w:rPr>
      </w:pPr>
      <w:r>
        <w:rPr>
          <w:rFonts w:hint="eastAsia" w:ascii="n" w:hAnsi="n" w:eastAsia="楷体_GB2312" w:cs="Times New Roman"/>
          <w:snapToGrid/>
          <w:color w:val="auto"/>
          <w:kern w:val="2"/>
          <w:sz w:val="28"/>
          <w:szCs w:val="28"/>
          <w:highlight w:val="none"/>
          <w:lang w:eastAsia="zh-CN"/>
        </w:rPr>
        <w:t>姓    名：</w:t>
      </w:r>
    </w:p>
    <w:p>
      <w:pPr>
        <w:widowControl w:val="0"/>
        <w:kinsoku/>
        <w:autoSpaceDE/>
        <w:autoSpaceDN/>
        <w:adjustRightInd/>
        <w:snapToGrid/>
        <w:spacing w:after="0" w:line="400" w:lineRule="exact"/>
        <w:jc w:val="both"/>
        <w:textAlignment w:val="auto"/>
        <w:rPr>
          <w:rFonts w:hint="eastAsia" w:ascii="n" w:hAnsi="n" w:eastAsia="楷体_GB2312" w:cs="Times New Roman"/>
          <w:snapToGrid/>
          <w:color w:val="auto"/>
          <w:kern w:val="2"/>
          <w:sz w:val="28"/>
          <w:szCs w:val="28"/>
          <w:highlight w:val="none"/>
          <w:lang w:eastAsia="zh-CN"/>
        </w:rPr>
      </w:pPr>
      <w:r>
        <w:rPr>
          <w:rFonts w:hint="eastAsia" w:ascii="n" w:hAnsi="n" w:eastAsia="楷体_GB2312" w:cs="Times New Roman"/>
          <w:snapToGrid/>
          <w:color w:val="auto"/>
          <w:kern w:val="2"/>
          <w:sz w:val="28"/>
          <w:szCs w:val="28"/>
          <w:highlight w:val="none"/>
          <w:lang w:eastAsia="zh-CN"/>
        </w:rPr>
        <w:t>证件类型：</w:t>
      </w:r>
    </w:p>
    <w:p>
      <w:pPr>
        <w:widowControl w:val="0"/>
        <w:kinsoku/>
        <w:autoSpaceDE/>
        <w:autoSpaceDN/>
        <w:adjustRightInd/>
        <w:snapToGrid/>
        <w:spacing w:after="0" w:line="400" w:lineRule="exact"/>
        <w:jc w:val="both"/>
        <w:textAlignment w:val="auto"/>
        <w:rPr>
          <w:rFonts w:hint="eastAsia" w:ascii="n" w:hAnsi="n" w:eastAsia="楷体_GB2312" w:cs="Times New Roman"/>
          <w:snapToGrid/>
          <w:color w:val="auto"/>
          <w:kern w:val="2"/>
          <w:sz w:val="28"/>
          <w:szCs w:val="28"/>
          <w:highlight w:val="none"/>
          <w:lang w:eastAsia="zh-CN"/>
        </w:rPr>
      </w:pPr>
      <w:r>
        <w:rPr>
          <w:rFonts w:hint="eastAsia" w:ascii="n" w:hAnsi="n" w:eastAsia="楷体_GB2312" w:cs="Times New Roman"/>
          <w:snapToGrid/>
          <w:color w:val="auto"/>
          <w:kern w:val="2"/>
          <w:sz w:val="28"/>
          <w:szCs w:val="28"/>
          <w:highlight w:val="none"/>
          <w:lang w:eastAsia="zh-CN"/>
        </w:rPr>
        <w:t>证件号：</w:t>
      </w:r>
    </w:p>
    <w:p>
      <w:pPr>
        <w:widowControl w:val="0"/>
        <w:kinsoku/>
        <w:autoSpaceDE/>
        <w:autoSpaceDN/>
        <w:adjustRightInd/>
        <w:snapToGrid/>
        <w:spacing w:after="0" w:line="400" w:lineRule="exact"/>
        <w:jc w:val="both"/>
        <w:textAlignment w:val="auto"/>
        <w:rPr>
          <w:rFonts w:hint="eastAsia" w:ascii="n" w:hAnsi="n" w:eastAsia="楷体_GB2312" w:cs="Times New Roman"/>
          <w:snapToGrid/>
          <w:color w:val="auto"/>
          <w:kern w:val="2"/>
          <w:sz w:val="28"/>
          <w:szCs w:val="28"/>
          <w:highlight w:val="none"/>
          <w:lang w:eastAsia="zh-CN"/>
        </w:rPr>
      </w:pPr>
      <w:r>
        <w:rPr>
          <w:rFonts w:hint="eastAsia" w:ascii="n" w:hAnsi="n" w:eastAsia="楷体_GB2312" w:cs="Times New Roman"/>
          <w:snapToGrid/>
          <w:color w:val="auto"/>
          <w:kern w:val="2"/>
          <w:sz w:val="28"/>
          <w:szCs w:val="28"/>
          <w:highlight w:val="none"/>
          <w:lang w:eastAsia="zh-CN"/>
        </w:rPr>
        <w:t>联系方式：</w:t>
      </w:r>
    </w:p>
    <w:p>
      <w:pPr>
        <w:widowControl w:val="0"/>
        <w:kinsoku/>
        <w:autoSpaceDE/>
        <w:autoSpaceDN/>
        <w:adjustRightInd/>
        <w:snapToGrid/>
        <w:spacing w:after="0" w:line="400" w:lineRule="exact"/>
        <w:jc w:val="both"/>
        <w:textAlignment w:val="auto"/>
        <w:rPr>
          <w:rFonts w:hint="eastAsia" w:ascii="n" w:hAnsi="n" w:eastAsia="楷体_GB2312" w:cs="Times New Roman"/>
          <w:snapToGrid/>
          <w:color w:val="auto"/>
          <w:kern w:val="2"/>
          <w:sz w:val="28"/>
          <w:szCs w:val="28"/>
          <w:highlight w:val="none"/>
          <w:lang w:eastAsia="zh-CN"/>
        </w:rPr>
      </w:pPr>
      <w:r>
        <w:rPr>
          <w:rFonts w:hint="eastAsia" w:ascii="n" w:hAnsi="n" w:eastAsia="楷体_GB2312" w:cs="Times New Roman"/>
          <w:snapToGrid/>
          <w:color w:val="auto"/>
          <w:kern w:val="2"/>
          <w:sz w:val="28"/>
          <w:szCs w:val="28"/>
          <w:highlight w:val="none"/>
          <w:lang w:eastAsia="zh-CN"/>
        </w:rPr>
        <w:t>（法人及非法人其他组织、个体工商户）</w:t>
      </w:r>
    </w:p>
    <w:p>
      <w:pPr>
        <w:widowControl w:val="0"/>
        <w:kinsoku/>
        <w:autoSpaceDE/>
        <w:autoSpaceDN/>
        <w:adjustRightInd/>
        <w:snapToGrid/>
        <w:spacing w:after="0" w:line="400" w:lineRule="exact"/>
        <w:jc w:val="both"/>
        <w:textAlignment w:val="auto"/>
        <w:rPr>
          <w:rFonts w:hint="eastAsia" w:ascii="n" w:hAnsi="n" w:eastAsia="楷体_GB2312" w:cs="Times New Roman"/>
          <w:snapToGrid/>
          <w:color w:val="auto"/>
          <w:kern w:val="2"/>
          <w:sz w:val="28"/>
          <w:szCs w:val="28"/>
          <w:highlight w:val="none"/>
          <w:lang w:eastAsia="zh-CN"/>
        </w:rPr>
      </w:pPr>
      <w:r>
        <w:rPr>
          <w:rFonts w:hint="eastAsia" w:ascii="n" w:hAnsi="n" w:eastAsia="楷体_GB2312" w:cs="Times New Roman"/>
          <w:snapToGrid/>
          <w:color w:val="auto"/>
          <w:kern w:val="2"/>
          <w:sz w:val="28"/>
          <w:szCs w:val="28"/>
          <w:highlight w:val="none"/>
          <w:lang w:eastAsia="zh-CN"/>
        </w:rPr>
        <w:t>单位名称：</w:t>
      </w:r>
    </w:p>
    <w:p>
      <w:pPr>
        <w:widowControl w:val="0"/>
        <w:kinsoku/>
        <w:autoSpaceDE/>
        <w:autoSpaceDN/>
        <w:adjustRightInd/>
        <w:snapToGrid/>
        <w:spacing w:after="0" w:line="400" w:lineRule="exact"/>
        <w:jc w:val="both"/>
        <w:textAlignment w:val="auto"/>
        <w:rPr>
          <w:rFonts w:hint="eastAsia" w:ascii="n" w:hAnsi="n" w:eastAsia="楷体_GB2312" w:cs="Times New Roman"/>
          <w:snapToGrid/>
          <w:color w:val="auto"/>
          <w:kern w:val="2"/>
          <w:sz w:val="28"/>
          <w:szCs w:val="28"/>
          <w:highlight w:val="none"/>
          <w:lang w:eastAsia="zh-CN"/>
        </w:rPr>
      </w:pPr>
      <w:r>
        <w:rPr>
          <w:rFonts w:hint="eastAsia" w:ascii="n" w:hAnsi="n" w:eastAsia="楷体_GB2312" w:cs="Times New Roman"/>
          <w:snapToGrid/>
          <w:color w:val="auto"/>
          <w:kern w:val="2"/>
          <w:sz w:val="28"/>
          <w:szCs w:val="28"/>
          <w:highlight w:val="none"/>
          <w:lang w:eastAsia="zh-CN"/>
        </w:rPr>
        <w:t>证件类型：</w:t>
      </w:r>
    </w:p>
    <w:p>
      <w:pPr>
        <w:widowControl w:val="0"/>
        <w:kinsoku/>
        <w:autoSpaceDE/>
        <w:autoSpaceDN/>
        <w:adjustRightInd/>
        <w:snapToGrid/>
        <w:spacing w:after="0" w:line="400" w:lineRule="exact"/>
        <w:jc w:val="both"/>
        <w:textAlignment w:val="auto"/>
        <w:rPr>
          <w:rFonts w:hint="eastAsia" w:ascii="n" w:hAnsi="n" w:eastAsia="楷体_GB2312" w:cs="Times New Roman"/>
          <w:snapToGrid/>
          <w:color w:val="auto"/>
          <w:kern w:val="2"/>
          <w:sz w:val="28"/>
          <w:szCs w:val="28"/>
          <w:highlight w:val="none"/>
          <w:lang w:eastAsia="zh-CN"/>
        </w:rPr>
      </w:pPr>
      <w:r>
        <w:rPr>
          <w:rFonts w:hint="eastAsia" w:ascii="n" w:hAnsi="n" w:eastAsia="楷体_GB2312" w:cs="Times New Roman"/>
          <w:snapToGrid/>
          <w:color w:val="auto"/>
          <w:kern w:val="2"/>
          <w:sz w:val="28"/>
          <w:szCs w:val="28"/>
          <w:highlight w:val="none"/>
          <w:lang w:eastAsia="zh-CN"/>
        </w:rPr>
        <w:t>统一社会信用代码：</w:t>
      </w:r>
    </w:p>
    <w:p>
      <w:pPr>
        <w:widowControl w:val="0"/>
        <w:kinsoku/>
        <w:autoSpaceDE/>
        <w:autoSpaceDN/>
        <w:adjustRightInd/>
        <w:snapToGrid/>
        <w:spacing w:after="0" w:line="400" w:lineRule="exact"/>
        <w:jc w:val="both"/>
        <w:textAlignment w:val="auto"/>
        <w:rPr>
          <w:rFonts w:hint="eastAsia" w:ascii="n" w:hAnsi="n" w:eastAsia="楷体_GB2312" w:cs="Times New Roman"/>
          <w:snapToGrid/>
          <w:color w:val="auto"/>
          <w:kern w:val="2"/>
          <w:sz w:val="28"/>
          <w:szCs w:val="28"/>
          <w:highlight w:val="none"/>
          <w:lang w:eastAsia="zh-CN"/>
        </w:rPr>
      </w:pPr>
      <w:r>
        <w:rPr>
          <w:rFonts w:hint="eastAsia" w:ascii="n" w:hAnsi="n" w:eastAsia="楷体_GB2312" w:cs="Times New Roman"/>
          <w:snapToGrid/>
          <w:color w:val="auto"/>
          <w:kern w:val="2"/>
          <w:sz w:val="28"/>
          <w:szCs w:val="28"/>
          <w:highlight w:val="none"/>
          <w:lang w:eastAsia="zh-CN"/>
        </w:rPr>
        <w:t>法定代表人：</w:t>
      </w:r>
    </w:p>
    <w:p>
      <w:pPr>
        <w:widowControl w:val="0"/>
        <w:kinsoku/>
        <w:autoSpaceDE/>
        <w:autoSpaceDN/>
        <w:adjustRightInd/>
        <w:snapToGrid/>
        <w:spacing w:after="0" w:line="400" w:lineRule="exact"/>
        <w:jc w:val="both"/>
        <w:textAlignment w:val="auto"/>
        <w:rPr>
          <w:rFonts w:hint="eastAsia" w:ascii="n" w:hAnsi="n" w:eastAsia="楷体_GB2312" w:cs="Times New Roman"/>
          <w:snapToGrid/>
          <w:color w:val="auto"/>
          <w:kern w:val="2"/>
          <w:sz w:val="28"/>
          <w:szCs w:val="28"/>
          <w:highlight w:val="none"/>
          <w:lang w:eastAsia="zh-CN"/>
        </w:rPr>
      </w:pPr>
      <w:r>
        <w:rPr>
          <w:rFonts w:hint="eastAsia" w:ascii="n" w:hAnsi="n" w:eastAsia="楷体_GB2312" w:cs="Times New Roman"/>
          <w:snapToGrid/>
          <w:color w:val="auto"/>
          <w:kern w:val="2"/>
          <w:sz w:val="28"/>
          <w:szCs w:val="28"/>
          <w:highlight w:val="none"/>
          <w:lang w:eastAsia="zh-CN"/>
        </w:rPr>
        <w:t>地址：</w:t>
      </w:r>
    </w:p>
    <w:p>
      <w:pPr>
        <w:widowControl w:val="0"/>
        <w:kinsoku/>
        <w:autoSpaceDE/>
        <w:autoSpaceDN/>
        <w:adjustRightInd/>
        <w:snapToGrid/>
        <w:spacing w:after="0" w:line="400" w:lineRule="exact"/>
        <w:jc w:val="both"/>
        <w:textAlignment w:val="auto"/>
        <w:rPr>
          <w:rFonts w:hint="eastAsia" w:ascii="n" w:hAnsi="n" w:eastAsia="楷体_GB2312" w:cs="Times New Roman"/>
          <w:snapToGrid/>
          <w:color w:val="auto"/>
          <w:kern w:val="2"/>
          <w:sz w:val="28"/>
          <w:szCs w:val="28"/>
          <w:highlight w:val="none"/>
          <w:lang w:eastAsia="zh-CN"/>
        </w:rPr>
      </w:pPr>
      <w:r>
        <w:rPr>
          <w:rFonts w:hint="eastAsia" w:ascii="n" w:hAnsi="n" w:eastAsia="楷体_GB2312" w:cs="Times New Roman"/>
          <w:snapToGrid/>
          <w:color w:val="auto"/>
          <w:kern w:val="2"/>
          <w:sz w:val="28"/>
          <w:szCs w:val="28"/>
          <w:highlight w:val="none"/>
          <w:lang w:eastAsia="zh-CN"/>
        </w:rPr>
        <w:t>联系方式：</w:t>
      </w:r>
    </w:p>
    <w:p>
      <w:pPr>
        <w:widowControl w:val="0"/>
        <w:kinsoku/>
        <w:autoSpaceDE/>
        <w:autoSpaceDN/>
        <w:adjustRightInd/>
        <w:snapToGrid/>
        <w:spacing w:after="0" w:line="400" w:lineRule="exact"/>
        <w:jc w:val="both"/>
        <w:textAlignment w:val="auto"/>
        <w:rPr>
          <w:rFonts w:hint="eastAsia" w:ascii="n" w:hAnsi="n" w:eastAsia="楷体_GB2312" w:cs="Times New Roman"/>
          <w:snapToGrid/>
          <w:color w:val="auto"/>
          <w:kern w:val="2"/>
          <w:sz w:val="28"/>
          <w:szCs w:val="28"/>
          <w:highlight w:val="none"/>
          <w:lang w:eastAsia="zh-CN"/>
        </w:rPr>
      </w:pPr>
    </w:p>
    <w:p>
      <w:pPr>
        <w:widowControl w:val="0"/>
        <w:kinsoku/>
        <w:autoSpaceDE/>
        <w:autoSpaceDN/>
        <w:adjustRightInd/>
        <w:snapToGrid/>
        <w:spacing w:after="0" w:line="400" w:lineRule="exact"/>
        <w:jc w:val="both"/>
        <w:textAlignment w:val="auto"/>
        <w:rPr>
          <w:rFonts w:hint="eastAsia" w:ascii="n" w:hAnsi="n" w:eastAsia="楷体_GB2312" w:cs="Times New Roman"/>
          <w:snapToGrid/>
          <w:color w:val="auto"/>
          <w:kern w:val="2"/>
          <w:sz w:val="28"/>
          <w:szCs w:val="28"/>
          <w:highlight w:val="none"/>
          <w:lang w:eastAsia="zh-CN"/>
        </w:rPr>
      </w:pPr>
      <w:r>
        <w:rPr>
          <w:rFonts w:hint="eastAsia" w:ascii="n" w:hAnsi="n" w:eastAsia="楷体_GB2312" w:cs="Times New Roman"/>
          <w:snapToGrid/>
          <w:color w:val="auto"/>
          <w:kern w:val="2"/>
          <w:sz w:val="28"/>
          <w:szCs w:val="28"/>
          <w:highlight w:val="none"/>
          <w:lang w:eastAsia="zh-CN"/>
        </w:rPr>
        <w:t>委托代理人：</w:t>
      </w:r>
    </w:p>
    <w:p>
      <w:pPr>
        <w:widowControl w:val="0"/>
        <w:kinsoku/>
        <w:autoSpaceDE/>
        <w:autoSpaceDN/>
        <w:adjustRightInd/>
        <w:snapToGrid/>
        <w:spacing w:after="0" w:line="400" w:lineRule="exact"/>
        <w:jc w:val="both"/>
        <w:textAlignment w:val="auto"/>
        <w:rPr>
          <w:rFonts w:hint="eastAsia" w:ascii="n" w:hAnsi="n" w:eastAsia="楷体_GB2312" w:cs="Times New Roman"/>
          <w:snapToGrid/>
          <w:color w:val="auto"/>
          <w:kern w:val="2"/>
          <w:sz w:val="28"/>
          <w:szCs w:val="28"/>
          <w:highlight w:val="none"/>
          <w:lang w:eastAsia="zh-CN"/>
        </w:rPr>
      </w:pPr>
      <w:r>
        <w:rPr>
          <w:rFonts w:hint="eastAsia" w:ascii="n" w:hAnsi="n" w:eastAsia="楷体_GB2312" w:cs="Times New Roman"/>
          <w:snapToGrid/>
          <w:color w:val="auto"/>
          <w:kern w:val="2"/>
          <w:sz w:val="28"/>
          <w:szCs w:val="28"/>
          <w:highlight w:val="none"/>
          <w:lang w:eastAsia="zh-CN"/>
        </w:rPr>
        <w:t>姓    名：</w:t>
      </w:r>
    </w:p>
    <w:p>
      <w:pPr>
        <w:widowControl w:val="0"/>
        <w:kinsoku/>
        <w:autoSpaceDE/>
        <w:autoSpaceDN/>
        <w:adjustRightInd/>
        <w:snapToGrid/>
        <w:spacing w:after="0" w:line="400" w:lineRule="exact"/>
        <w:jc w:val="both"/>
        <w:textAlignment w:val="auto"/>
        <w:rPr>
          <w:rFonts w:hint="eastAsia" w:ascii="n" w:hAnsi="n" w:eastAsia="楷体_GB2312" w:cs="Times New Roman"/>
          <w:snapToGrid/>
          <w:color w:val="auto"/>
          <w:kern w:val="2"/>
          <w:sz w:val="28"/>
          <w:szCs w:val="28"/>
          <w:highlight w:val="none"/>
          <w:lang w:eastAsia="zh-CN"/>
        </w:rPr>
      </w:pPr>
      <w:r>
        <w:rPr>
          <w:rFonts w:hint="eastAsia" w:ascii="n" w:hAnsi="n" w:eastAsia="楷体_GB2312" w:cs="Times New Roman"/>
          <w:snapToGrid/>
          <w:color w:val="auto"/>
          <w:kern w:val="2"/>
          <w:sz w:val="28"/>
          <w:szCs w:val="28"/>
          <w:highlight w:val="none"/>
          <w:lang w:eastAsia="zh-CN"/>
        </w:rPr>
        <w:t>证件类型：               证件号：</w:t>
      </w:r>
    </w:p>
    <w:p>
      <w:pPr>
        <w:widowControl w:val="0"/>
        <w:kinsoku/>
        <w:autoSpaceDE/>
        <w:autoSpaceDN/>
        <w:adjustRightInd/>
        <w:snapToGrid/>
        <w:spacing w:after="0" w:line="400" w:lineRule="exact"/>
        <w:jc w:val="both"/>
        <w:textAlignment w:val="auto"/>
        <w:rPr>
          <w:rFonts w:hint="eastAsia" w:ascii="n" w:hAnsi="n" w:eastAsia="楷体_GB2312" w:cs="Times New Roman"/>
          <w:snapToGrid/>
          <w:color w:val="auto"/>
          <w:kern w:val="2"/>
          <w:sz w:val="28"/>
          <w:szCs w:val="28"/>
          <w:highlight w:val="none"/>
          <w:lang w:eastAsia="zh-CN"/>
        </w:rPr>
      </w:pPr>
      <w:r>
        <w:rPr>
          <w:rFonts w:hint="eastAsia" w:ascii="n" w:hAnsi="n" w:eastAsia="楷体_GB2312" w:cs="Times New Roman"/>
          <w:snapToGrid/>
          <w:color w:val="auto"/>
          <w:kern w:val="2"/>
          <w:sz w:val="28"/>
          <w:szCs w:val="28"/>
          <w:highlight w:val="none"/>
          <w:lang w:eastAsia="zh-CN"/>
        </w:rPr>
        <w:t>联系方式：</w:t>
      </w:r>
    </w:p>
    <w:p>
      <w:pPr>
        <w:widowControl w:val="0"/>
        <w:kinsoku/>
        <w:autoSpaceDE/>
        <w:autoSpaceDN/>
        <w:adjustRightInd/>
        <w:snapToGrid/>
        <w:spacing w:after="0" w:line="400" w:lineRule="exact"/>
        <w:jc w:val="both"/>
        <w:textAlignment w:val="auto"/>
        <w:rPr>
          <w:rFonts w:hint="eastAsia" w:ascii="n" w:hAnsi="n" w:eastAsia="楷体_GB2312" w:cs="Times New Roman"/>
          <w:snapToGrid/>
          <w:color w:val="auto"/>
          <w:kern w:val="2"/>
          <w:sz w:val="28"/>
          <w:szCs w:val="28"/>
          <w:highlight w:val="none"/>
          <w:lang w:eastAsia="zh-CN"/>
        </w:rPr>
      </w:pPr>
    </w:p>
    <w:p>
      <w:pPr>
        <w:widowControl w:val="0"/>
        <w:kinsoku/>
        <w:autoSpaceDE/>
        <w:autoSpaceDN/>
        <w:adjustRightInd/>
        <w:snapToGrid/>
        <w:spacing w:after="0" w:line="400" w:lineRule="exact"/>
        <w:jc w:val="both"/>
        <w:textAlignment w:val="auto"/>
        <w:rPr>
          <w:rFonts w:hint="eastAsia" w:ascii="n" w:hAnsi="n" w:eastAsia="楷体_GB2312" w:cs="Times New Roman"/>
          <w:snapToGrid/>
          <w:color w:val="auto"/>
          <w:kern w:val="2"/>
          <w:sz w:val="28"/>
          <w:szCs w:val="28"/>
          <w:highlight w:val="none"/>
          <w:lang w:eastAsia="zh-CN"/>
        </w:rPr>
      </w:pPr>
      <w:r>
        <w:rPr>
          <w:rFonts w:hint="eastAsia" w:ascii="n" w:hAnsi="n" w:eastAsia="楷体_GB2312" w:cs="Times New Roman"/>
          <w:snapToGrid/>
          <w:color w:val="auto"/>
          <w:kern w:val="2"/>
          <w:sz w:val="28"/>
          <w:szCs w:val="28"/>
          <w:highlight w:val="none"/>
          <w:lang w:eastAsia="zh-CN"/>
        </w:rPr>
        <w:t>行政审批部门：</w:t>
      </w:r>
    </w:p>
    <w:p>
      <w:pPr>
        <w:widowControl w:val="0"/>
        <w:kinsoku/>
        <w:autoSpaceDE/>
        <w:autoSpaceDN/>
        <w:adjustRightInd/>
        <w:snapToGrid/>
        <w:spacing w:after="0" w:line="400" w:lineRule="exact"/>
        <w:jc w:val="both"/>
        <w:textAlignment w:val="auto"/>
        <w:rPr>
          <w:rFonts w:hint="eastAsia" w:ascii="n" w:hAnsi="n" w:eastAsia="楷体_GB2312" w:cs="Times New Roman"/>
          <w:snapToGrid/>
          <w:color w:val="auto"/>
          <w:kern w:val="2"/>
          <w:sz w:val="28"/>
          <w:szCs w:val="28"/>
          <w:highlight w:val="none"/>
          <w:lang w:eastAsia="zh-CN"/>
        </w:rPr>
      </w:pPr>
      <w:r>
        <w:rPr>
          <w:rFonts w:hint="eastAsia" w:ascii="n" w:hAnsi="n" w:eastAsia="楷体_GB2312" w:cs="Times New Roman"/>
          <w:snapToGrid/>
          <w:color w:val="auto"/>
          <w:kern w:val="2"/>
          <w:sz w:val="28"/>
          <w:szCs w:val="28"/>
          <w:highlight w:val="none"/>
          <w:lang w:eastAsia="zh-CN"/>
        </w:rPr>
        <w:t>联系人姓名：</w:t>
      </w:r>
    </w:p>
    <w:p>
      <w:pPr>
        <w:widowControl w:val="0"/>
        <w:kinsoku/>
        <w:autoSpaceDE/>
        <w:autoSpaceDN/>
        <w:adjustRightInd/>
        <w:snapToGrid/>
        <w:spacing w:after="0" w:line="400" w:lineRule="exact"/>
        <w:jc w:val="both"/>
        <w:textAlignment w:val="auto"/>
        <w:rPr>
          <w:rFonts w:hint="eastAsia" w:ascii="n" w:hAnsi="n" w:eastAsia="楷体_GB2312" w:cs="Times New Roman"/>
          <w:snapToGrid/>
          <w:color w:val="auto"/>
          <w:kern w:val="2"/>
          <w:sz w:val="28"/>
          <w:szCs w:val="28"/>
          <w:highlight w:val="none"/>
          <w:u w:val="single"/>
          <w:lang w:eastAsia="zh-CN"/>
        </w:rPr>
      </w:pPr>
      <w:r>
        <w:rPr>
          <w:rFonts w:hint="eastAsia" w:ascii="n" w:hAnsi="n" w:eastAsia="楷体_GB2312" w:cs="Times New Roman"/>
          <w:snapToGrid/>
          <w:color w:val="auto"/>
          <w:kern w:val="2"/>
          <w:sz w:val="28"/>
          <w:szCs w:val="28"/>
          <w:highlight w:val="none"/>
          <w:lang w:eastAsia="zh-CN"/>
        </w:rPr>
        <w:t>联系方式：</w:t>
      </w:r>
    </w:p>
    <w:p>
      <w:pPr>
        <w:keepNext w:val="0"/>
        <w:keepLines w:val="0"/>
        <w:pageBreakBefore w:val="0"/>
        <w:widowControl w:val="0"/>
        <w:kinsoku/>
        <w:wordWrap/>
        <w:overflowPunct w:val="0"/>
        <w:topLinePunct/>
        <w:autoSpaceDE w:val="0"/>
        <w:autoSpaceDN w:val="0"/>
        <w:bidi w:val="0"/>
        <w:adjustRightInd/>
        <w:snapToGrid/>
        <w:spacing w:before="0" w:beforeLines="100"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按照《上海市行政审批告知承诺管理办法》，本行政审批部门就行政审批事项告知如下：</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黑体" w:hAnsi="黑体" w:eastAsia="黑体" w:cs="黑体"/>
          <w:snapToGrid/>
          <w:color w:val="auto"/>
          <w:kern w:val="2"/>
          <w:sz w:val="28"/>
          <w:szCs w:val="28"/>
          <w:highlight w:val="none"/>
          <w:lang w:eastAsia="zh-CN"/>
        </w:rPr>
      </w:pPr>
      <w:r>
        <w:rPr>
          <w:rFonts w:hint="eastAsia" w:ascii="黑体" w:hAnsi="黑体" w:eastAsia="黑体" w:cs="黑体"/>
          <w:snapToGrid/>
          <w:color w:val="auto"/>
          <w:kern w:val="2"/>
          <w:sz w:val="28"/>
          <w:szCs w:val="28"/>
          <w:highlight w:val="none"/>
          <w:lang w:eastAsia="zh-CN"/>
        </w:rPr>
        <w:t>一、审批依据</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本行政审批事项的依据为：</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1.《中华人民共和国道路运输条例》第二十一条、第二十四条；</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2.</w:t>
      </w:r>
      <w:r>
        <w:rPr>
          <w:rFonts w:hint="eastAsia" w:ascii="宋体" w:hAnsi="宋体" w:eastAsia="宋体" w:cs="宋体"/>
          <w:snapToGrid/>
          <w:color w:val="auto"/>
          <w:kern w:val="2"/>
          <w:sz w:val="28"/>
          <w:szCs w:val="28"/>
          <w:highlight w:val="none"/>
          <w:lang w:val="en" w:eastAsia="zh-CN"/>
        </w:rPr>
        <w:t>《上海市道路运输管理条例》第五条；</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val="en-US" w:eastAsia="zh-CN"/>
        </w:rPr>
        <w:t>3.《道路货物运输及站场管理规定》第六条、第十八条、第十九条第一款、第二款。</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黑体" w:hAnsi="黑体" w:eastAsia="黑体" w:cs="黑体"/>
          <w:snapToGrid/>
          <w:color w:val="auto"/>
          <w:kern w:val="2"/>
          <w:sz w:val="28"/>
          <w:szCs w:val="28"/>
          <w:highlight w:val="none"/>
          <w:lang w:eastAsia="zh-CN"/>
        </w:rPr>
      </w:pPr>
      <w:r>
        <w:rPr>
          <w:rFonts w:hint="eastAsia" w:ascii="黑体" w:hAnsi="黑体" w:eastAsia="黑体" w:cs="黑体"/>
          <w:snapToGrid/>
          <w:color w:val="auto"/>
          <w:kern w:val="2"/>
          <w:sz w:val="28"/>
          <w:szCs w:val="28"/>
          <w:highlight w:val="none"/>
          <w:lang w:eastAsia="zh-CN"/>
        </w:rPr>
        <w:t>二、法定条件</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本行政审批事项获得批准应当具备下列条件、标准和技术要求：</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1.有与其经营业务相适应并经检测合格的货运车辆，且车辆行驶证使用性质必须为“货运”；</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0" w:firstLineChars="200"/>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（1）车辆技术要求应当符合《道路运输车辆技术管理规定》有关规定；</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0" w:firstLineChars="200"/>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（2）车辆应符合环保部门规定的环保要求；</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（3）车辆配置符合《道路运输车辆卫星定位系统车载终端技术要求》（JT/T 794）要求的卫星定位系统车载终端，并接入符合要求的监控平台；</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（4）半挂牵引车以及重型载货汽车达到50辆以上的单位，建设符合《道路运输车辆卫星定位系统平台技术要求》（GB/T 35658）标准的道路运输车辆动态监控平台，或者使用符合条件的社会化卫星定位系统监控平台。监控平台应当与道路货运车辆公共平台对接。企业应当配备专职监控人员（监控平台每接入100辆车设1人，最低不少于2人）。</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（5）专用车辆应符合《道路运输达标车辆核查工作规范》（交办运〔2021〕4号）的要求；</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2.有符合规定条件的驾驶人员：</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（1）取得相应的机动车驾驶证；</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（2）年龄不超过6</w:t>
      </w:r>
      <w:r>
        <w:rPr>
          <w:rFonts w:hint="eastAsia" w:ascii="宋体" w:hAnsi="宋体" w:eastAsia="宋体" w:cs="宋体"/>
          <w:snapToGrid/>
          <w:color w:val="auto"/>
          <w:kern w:val="2"/>
          <w:sz w:val="28"/>
          <w:szCs w:val="28"/>
          <w:highlight w:val="none"/>
          <w:lang w:val="en-US" w:eastAsia="zh-CN"/>
        </w:rPr>
        <w:t>3</w:t>
      </w:r>
      <w:r>
        <w:rPr>
          <w:rFonts w:hint="eastAsia" w:ascii="宋体" w:hAnsi="宋体" w:eastAsia="宋体" w:cs="宋体"/>
          <w:snapToGrid/>
          <w:color w:val="auto"/>
          <w:kern w:val="2"/>
          <w:sz w:val="28"/>
          <w:szCs w:val="28"/>
          <w:highlight w:val="none"/>
          <w:lang w:eastAsia="zh-CN"/>
        </w:rPr>
        <w:t>周岁；</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（3）驾驶人员取得经设区的市级交通运输主管部门核发的相应的从业资格证（使用总质量4500千克及以下普通货运车辆的驾驶人员除外）；</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3.配备交通安全专职人员：</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企业应当配备经安全培训的主要负责人和专职安全生产管理人员；</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val="en-US" w:eastAsia="zh-CN"/>
        </w:rPr>
      </w:pPr>
      <w:r>
        <w:rPr>
          <w:rFonts w:hint="eastAsia" w:ascii="宋体" w:hAnsi="宋体" w:eastAsia="宋体" w:cs="宋体"/>
          <w:snapToGrid/>
          <w:color w:val="auto"/>
          <w:kern w:val="2"/>
          <w:sz w:val="28"/>
          <w:szCs w:val="28"/>
          <w:highlight w:val="none"/>
          <w:lang w:val="en-US" w:eastAsia="zh-CN"/>
        </w:rPr>
        <w:t>4.有健全的安全生产管理制度：</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val="en-US" w:eastAsia="zh-CN"/>
        </w:rPr>
      </w:pPr>
      <w:r>
        <w:rPr>
          <w:rFonts w:hint="eastAsia" w:ascii="宋体" w:hAnsi="宋体" w:eastAsia="宋体" w:cs="宋体"/>
          <w:snapToGrid/>
          <w:color w:val="auto"/>
          <w:kern w:val="2"/>
          <w:sz w:val="28"/>
          <w:szCs w:val="28"/>
          <w:highlight w:val="none"/>
          <w:lang w:val="en-US" w:eastAsia="zh-CN"/>
        </w:rPr>
        <w:t>（1）安全生产全员责任制及考核奖惩制度；</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val="en-US" w:eastAsia="zh-CN"/>
        </w:rPr>
      </w:pPr>
      <w:r>
        <w:rPr>
          <w:rFonts w:hint="eastAsia" w:ascii="宋体" w:hAnsi="宋体" w:eastAsia="宋体" w:cs="宋体"/>
          <w:snapToGrid/>
          <w:color w:val="auto"/>
          <w:kern w:val="2"/>
          <w:sz w:val="28"/>
          <w:szCs w:val="28"/>
          <w:highlight w:val="none"/>
          <w:lang w:val="en-US" w:eastAsia="zh-CN"/>
        </w:rPr>
        <w:t>（2）安全生产会议制度；</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val="en-US" w:eastAsia="zh-CN"/>
        </w:rPr>
      </w:pPr>
      <w:r>
        <w:rPr>
          <w:rFonts w:hint="eastAsia" w:ascii="宋体" w:hAnsi="宋体" w:eastAsia="宋体" w:cs="宋体"/>
          <w:snapToGrid/>
          <w:color w:val="auto"/>
          <w:kern w:val="2"/>
          <w:sz w:val="28"/>
          <w:szCs w:val="28"/>
          <w:highlight w:val="none"/>
          <w:lang w:val="en-US" w:eastAsia="zh-CN"/>
        </w:rPr>
        <w:t>（3）安全生产投入及费用管理制度；</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val="en-US" w:eastAsia="zh-CN"/>
        </w:rPr>
      </w:pPr>
      <w:r>
        <w:rPr>
          <w:rFonts w:hint="eastAsia" w:ascii="宋体" w:hAnsi="宋体" w:eastAsia="宋体" w:cs="宋体"/>
          <w:snapToGrid/>
          <w:color w:val="auto"/>
          <w:kern w:val="2"/>
          <w:sz w:val="28"/>
          <w:szCs w:val="28"/>
          <w:highlight w:val="none"/>
          <w:lang w:val="en-US" w:eastAsia="zh-CN"/>
        </w:rPr>
        <w:t>（4）安全生产教育培训及特种作业管理制度；</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val="en-US" w:eastAsia="zh-CN"/>
        </w:rPr>
      </w:pPr>
      <w:r>
        <w:rPr>
          <w:rFonts w:hint="eastAsia" w:ascii="宋体" w:hAnsi="宋体" w:eastAsia="宋体" w:cs="宋体"/>
          <w:snapToGrid/>
          <w:color w:val="auto"/>
          <w:kern w:val="2"/>
          <w:sz w:val="28"/>
          <w:szCs w:val="28"/>
          <w:highlight w:val="none"/>
          <w:lang w:val="en-US" w:eastAsia="zh-CN"/>
        </w:rPr>
        <w:t>（5）从业人员、专用车辆、设备（含动态监控系统平台及设备等）及停车场地安全管理制度；</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val="en-US" w:eastAsia="zh-CN"/>
        </w:rPr>
      </w:pPr>
      <w:r>
        <w:rPr>
          <w:rFonts w:hint="eastAsia" w:ascii="宋体" w:hAnsi="宋体" w:eastAsia="宋体" w:cs="宋体"/>
          <w:snapToGrid/>
          <w:color w:val="auto"/>
          <w:kern w:val="2"/>
          <w:sz w:val="28"/>
          <w:szCs w:val="28"/>
          <w:highlight w:val="none"/>
          <w:lang w:val="en-US" w:eastAsia="zh-CN"/>
        </w:rPr>
        <w:t>（6）安全生产作业规程及值班制度；</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val="en-US" w:eastAsia="zh-CN"/>
        </w:rPr>
      </w:pPr>
      <w:r>
        <w:rPr>
          <w:rFonts w:hint="eastAsia" w:ascii="宋体" w:hAnsi="宋体" w:eastAsia="宋体" w:cs="宋体"/>
          <w:snapToGrid/>
          <w:color w:val="auto"/>
          <w:kern w:val="2"/>
          <w:sz w:val="28"/>
          <w:szCs w:val="28"/>
          <w:highlight w:val="none"/>
          <w:lang w:val="en-US" w:eastAsia="zh-CN"/>
        </w:rPr>
        <w:t>（7）安全风险分级管控制度；</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val="en-US" w:eastAsia="zh-CN"/>
        </w:rPr>
      </w:pPr>
      <w:r>
        <w:rPr>
          <w:rFonts w:hint="eastAsia" w:ascii="宋体" w:hAnsi="宋体" w:eastAsia="宋体" w:cs="宋体"/>
          <w:snapToGrid/>
          <w:color w:val="auto"/>
          <w:kern w:val="2"/>
          <w:sz w:val="28"/>
          <w:szCs w:val="28"/>
          <w:highlight w:val="none"/>
          <w:lang w:val="en-US" w:eastAsia="zh-CN"/>
        </w:rPr>
        <w:t>（8）安全检查和事故隐患排查治理制度；</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val="en-US" w:eastAsia="zh-CN"/>
        </w:rPr>
      </w:pPr>
      <w:r>
        <w:rPr>
          <w:rFonts w:hint="eastAsia" w:ascii="宋体" w:hAnsi="宋体" w:eastAsia="宋体" w:cs="宋体"/>
          <w:snapToGrid/>
          <w:color w:val="auto"/>
          <w:kern w:val="2"/>
          <w:sz w:val="28"/>
          <w:szCs w:val="28"/>
          <w:highlight w:val="none"/>
          <w:lang w:val="en-US" w:eastAsia="zh-CN"/>
        </w:rPr>
        <w:t>（9）重大危险源监控制度；</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val="en-US" w:eastAsia="zh-CN"/>
        </w:rPr>
      </w:pPr>
      <w:r>
        <w:rPr>
          <w:rFonts w:hint="eastAsia" w:ascii="宋体" w:hAnsi="宋体" w:eastAsia="宋体" w:cs="宋体"/>
          <w:snapToGrid/>
          <w:color w:val="auto"/>
          <w:kern w:val="2"/>
          <w:sz w:val="28"/>
          <w:szCs w:val="28"/>
          <w:highlight w:val="none"/>
          <w:lang w:val="en-US" w:eastAsia="zh-CN"/>
        </w:rPr>
        <w:t>（10）承包、承租单位安全管理制度；</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val="en-US" w:eastAsia="zh-CN"/>
        </w:rPr>
      </w:pPr>
      <w:r>
        <w:rPr>
          <w:rFonts w:hint="eastAsia" w:ascii="宋体" w:hAnsi="宋体" w:eastAsia="宋体" w:cs="宋体"/>
          <w:snapToGrid/>
          <w:color w:val="auto"/>
          <w:kern w:val="2"/>
          <w:sz w:val="28"/>
          <w:szCs w:val="28"/>
          <w:highlight w:val="none"/>
          <w:lang w:val="en-US" w:eastAsia="zh-CN"/>
        </w:rPr>
        <w:t>（11）劳动防护用品配备和管理制度；</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val="en-US" w:eastAsia="zh-CN"/>
        </w:rPr>
      </w:pPr>
      <w:r>
        <w:rPr>
          <w:rFonts w:hint="eastAsia" w:ascii="宋体" w:hAnsi="宋体" w:eastAsia="宋体" w:cs="宋体"/>
          <w:snapToGrid/>
          <w:color w:val="auto"/>
          <w:kern w:val="2"/>
          <w:sz w:val="28"/>
          <w:szCs w:val="28"/>
          <w:highlight w:val="none"/>
          <w:lang w:val="en-US" w:eastAsia="zh-CN"/>
        </w:rPr>
        <w:t>（12）应急管理制度：</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outlineLvl w:val="9"/>
        <w:rPr>
          <w:rFonts w:hint="eastAsia" w:ascii="宋体" w:hAnsi="宋体" w:eastAsia="宋体" w:cs="宋体"/>
          <w:snapToGrid/>
          <w:color w:val="auto"/>
          <w:kern w:val="2"/>
          <w:sz w:val="28"/>
          <w:szCs w:val="28"/>
          <w:highlight w:val="none"/>
          <w:lang w:val="en-US" w:eastAsia="zh-CN"/>
        </w:rPr>
      </w:pPr>
      <w:r>
        <w:rPr>
          <w:rFonts w:hint="eastAsia" w:ascii="宋体" w:hAnsi="宋体" w:eastAsia="宋体" w:cs="宋体"/>
          <w:snapToGrid/>
          <w:color w:val="auto"/>
          <w:kern w:val="2"/>
          <w:sz w:val="28"/>
          <w:szCs w:val="28"/>
          <w:highlight w:val="none"/>
          <w:lang w:val="en-US" w:eastAsia="zh-CN"/>
        </w:rPr>
        <w:t>1）交通事故应急救援预案制度；</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outlineLvl w:val="9"/>
        <w:rPr>
          <w:rFonts w:hint="eastAsia" w:ascii="宋体" w:hAnsi="宋体" w:eastAsia="宋体" w:cs="宋体"/>
          <w:snapToGrid/>
          <w:color w:val="auto"/>
          <w:kern w:val="2"/>
          <w:sz w:val="28"/>
          <w:szCs w:val="28"/>
          <w:highlight w:val="none"/>
          <w:lang w:val="en-US" w:eastAsia="zh-CN"/>
        </w:rPr>
      </w:pPr>
      <w:r>
        <w:rPr>
          <w:rFonts w:hint="eastAsia" w:ascii="宋体" w:hAnsi="宋体" w:eastAsia="宋体" w:cs="宋体"/>
          <w:snapToGrid/>
          <w:color w:val="auto"/>
          <w:kern w:val="2"/>
          <w:sz w:val="28"/>
          <w:szCs w:val="28"/>
          <w:highlight w:val="none"/>
          <w:lang w:val="en-US" w:eastAsia="zh-CN"/>
        </w:rPr>
        <w:t>2）自然灾害应急救援预案制度；</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outlineLvl w:val="9"/>
        <w:rPr>
          <w:rFonts w:hint="eastAsia" w:ascii="宋体" w:hAnsi="宋体" w:eastAsia="宋体" w:cs="宋体"/>
          <w:snapToGrid/>
          <w:color w:val="auto"/>
          <w:kern w:val="2"/>
          <w:sz w:val="28"/>
          <w:szCs w:val="28"/>
          <w:highlight w:val="none"/>
          <w:lang w:val="en-US" w:eastAsia="zh-CN"/>
        </w:rPr>
      </w:pPr>
      <w:r>
        <w:rPr>
          <w:rFonts w:hint="eastAsia" w:ascii="宋体" w:hAnsi="宋体" w:eastAsia="宋体" w:cs="宋体"/>
          <w:snapToGrid/>
          <w:color w:val="auto"/>
          <w:kern w:val="2"/>
          <w:sz w:val="28"/>
          <w:szCs w:val="28"/>
          <w:highlight w:val="none"/>
          <w:lang w:val="en-US" w:eastAsia="zh-CN"/>
        </w:rPr>
        <w:t>3）公共卫生应急救援预案制度；</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outlineLvl w:val="9"/>
        <w:rPr>
          <w:rFonts w:hint="eastAsia" w:ascii="宋体" w:hAnsi="宋体" w:eastAsia="宋体" w:cs="宋体"/>
          <w:snapToGrid/>
          <w:color w:val="auto"/>
          <w:kern w:val="2"/>
          <w:sz w:val="28"/>
          <w:szCs w:val="28"/>
          <w:highlight w:val="none"/>
          <w:lang w:val="en-US" w:eastAsia="zh-CN"/>
        </w:rPr>
      </w:pPr>
      <w:r>
        <w:rPr>
          <w:rFonts w:hint="eastAsia" w:ascii="宋体" w:hAnsi="宋体" w:eastAsia="宋体" w:cs="宋体"/>
          <w:snapToGrid/>
          <w:color w:val="auto"/>
          <w:kern w:val="2"/>
          <w:sz w:val="28"/>
          <w:szCs w:val="28"/>
          <w:highlight w:val="none"/>
          <w:lang w:val="en-US" w:eastAsia="zh-CN"/>
        </w:rPr>
        <w:t>4）其他突发公共事件应急救援预案制度；</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outlineLvl w:val="9"/>
        <w:rPr>
          <w:rFonts w:hint="eastAsia" w:ascii="宋体" w:hAnsi="宋体" w:eastAsia="宋体" w:cs="宋体"/>
          <w:snapToGrid/>
          <w:color w:val="auto"/>
          <w:kern w:val="2"/>
          <w:sz w:val="28"/>
          <w:szCs w:val="28"/>
          <w:highlight w:val="none"/>
          <w:lang w:val="en-US" w:eastAsia="zh-CN"/>
        </w:rPr>
      </w:pPr>
      <w:r>
        <w:rPr>
          <w:rFonts w:hint="eastAsia" w:ascii="宋体" w:hAnsi="宋体" w:eastAsia="宋体" w:cs="宋体"/>
          <w:snapToGrid/>
          <w:color w:val="auto"/>
          <w:kern w:val="2"/>
          <w:sz w:val="28"/>
          <w:szCs w:val="28"/>
          <w:highlight w:val="none"/>
          <w:lang w:val="en-US" w:eastAsia="zh-CN"/>
        </w:rPr>
        <w:t>（13）安全事故报告、统计与处理制度；</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outlineLvl w:val="9"/>
        <w:rPr>
          <w:rFonts w:hint="eastAsia" w:ascii="宋体" w:hAnsi="宋体" w:eastAsia="宋体" w:cs="宋体"/>
          <w:snapToGrid/>
          <w:color w:val="auto"/>
          <w:kern w:val="2"/>
          <w:sz w:val="28"/>
          <w:szCs w:val="28"/>
          <w:highlight w:val="none"/>
          <w:lang w:val="en-US" w:eastAsia="zh-CN"/>
        </w:rPr>
      </w:pPr>
      <w:r>
        <w:rPr>
          <w:rFonts w:hint="eastAsia" w:ascii="宋体" w:hAnsi="宋体" w:eastAsia="宋体" w:cs="宋体"/>
          <w:snapToGrid/>
          <w:color w:val="auto"/>
          <w:kern w:val="2"/>
          <w:sz w:val="28"/>
          <w:szCs w:val="28"/>
          <w:highlight w:val="none"/>
          <w:lang w:val="en-US" w:eastAsia="zh-CN"/>
        </w:rPr>
        <w:t>（14）安全生产档案管理制度；</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outlineLvl w:val="9"/>
        <w:rPr>
          <w:rFonts w:hint="eastAsia" w:ascii="宋体" w:hAnsi="宋体" w:eastAsia="宋体" w:cs="宋体"/>
          <w:snapToGrid/>
          <w:color w:val="auto"/>
          <w:kern w:val="2"/>
          <w:sz w:val="28"/>
          <w:szCs w:val="28"/>
          <w:highlight w:val="none"/>
          <w:lang w:val="en-US" w:eastAsia="zh-CN"/>
        </w:rPr>
      </w:pPr>
      <w:r>
        <w:rPr>
          <w:rFonts w:hint="eastAsia" w:ascii="宋体" w:hAnsi="宋体" w:eastAsia="宋体" w:cs="宋体"/>
          <w:snapToGrid/>
          <w:color w:val="auto"/>
          <w:kern w:val="2"/>
          <w:sz w:val="28"/>
          <w:szCs w:val="28"/>
          <w:highlight w:val="none"/>
          <w:lang w:val="en-US" w:eastAsia="zh-CN"/>
        </w:rPr>
        <w:t>（15）其他安全生产保障规章制度。</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val="en-US" w:eastAsia="zh-CN"/>
        </w:rPr>
        <w:t>5.</w:t>
      </w:r>
      <w:r>
        <w:rPr>
          <w:rFonts w:hint="eastAsia" w:ascii="宋体" w:hAnsi="宋体" w:eastAsia="宋体" w:cs="宋体"/>
          <w:snapToGrid/>
          <w:color w:val="auto"/>
          <w:kern w:val="2"/>
          <w:sz w:val="28"/>
          <w:szCs w:val="28"/>
          <w:highlight w:val="none"/>
          <w:lang w:eastAsia="zh-CN"/>
        </w:rPr>
        <w:t>使用总质量4500千克及以下普通货运车辆从事普通货运经营的，无需申请取得《道路运输经营许可证》及车辆《道路运输证》《道路运输从业人员从业人员资格证》。</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黑体" w:hAnsi="黑体" w:eastAsia="黑体" w:cs="黑体"/>
          <w:snapToGrid/>
          <w:color w:val="auto"/>
          <w:kern w:val="2"/>
          <w:sz w:val="28"/>
          <w:szCs w:val="28"/>
          <w:highlight w:val="none"/>
          <w:lang w:eastAsia="zh-CN"/>
        </w:rPr>
      </w:pPr>
      <w:r>
        <w:rPr>
          <w:rFonts w:hint="eastAsia" w:ascii="黑体" w:hAnsi="黑体" w:eastAsia="黑体" w:cs="黑体"/>
          <w:snapToGrid/>
          <w:color w:val="auto"/>
          <w:kern w:val="2"/>
          <w:sz w:val="28"/>
          <w:szCs w:val="28"/>
          <w:highlight w:val="none"/>
          <w:lang w:eastAsia="zh-CN"/>
        </w:rPr>
        <w:t>三、应当提交的材料</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根据审批依据和法定条件，本行政审批事项获得批准，申请人应当提交下列材料：</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1.《道路货物运输经营申请表》原件；</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2</w:t>
      </w:r>
      <w:r>
        <w:rPr>
          <w:rFonts w:hint="eastAsia" w:ascii="宋体" w:hAnsi="宋体" w:eastAsia="宋体" w:cs="宋体"/>
          <w:snapToGrid/>
          <w:color w:val="auto"/>
          <w:kern w:val="2"/>
          <w:sz w:val="28"/>
          <w:szCs w:val="28"/>
          <w:highlight w:val="none"/>
          <w:lang w:val="en" w:eastAsia="zh-CN"/>
        </w:rPr>
        <w:t>.</w:t>
      </w:r>
      <w:r>
        <w:rPr>
          <w:rFonts w:hint="eastAsia" w:ascii="宋体" w:hAnsi="宋体" w:eastAsia="宋体" w:cs="宋体"/>
          <w:snapToGrid/>
          <w:color w:val="auto"/>
          <w:kern w:val="2"/>
          <w:sz w:val="28"/>
          <w:szCs w:val="28"/>
          <w:highlight w:val="none"/>
          <w:lang w:eastAsia="zh-CN"/>
        </w:rPr>
        <w:t>法定代表人、经办人身份证明复印件；</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3</w:t>
      </w:r>
      <w:r>
        <w:rPr>
          <w:rFonts w:hint="eastAsia" w:ascii="宋体" w:hAnsi="宋体" w:eastAsia="宋体" w:cs="宋体"/>
          <w:snapToGrid/>
          <w:color w:val="auto"/>
          <w:kern w:val="2"/>
          <w:sz w:val="28"/>
          <w:szCs w:val="28"/>
          <w:highlight w:val="none"/>
          <w:lang w:val="en" w:eastAsia="zh-CN"/>
        </w:rPr>
        <w:t>.</w:t>
      </w:r>
      <w:r>
        <w:rPr>
          <w:rFonts w:hint="eastAsia" w:ascii="宋体" w:hAnsi="宋体" w:eastAsia="宋体" w:cs="宋体"/>
          <w:snapToGrid/>
          <w:color w:val="auto"/>
          <w:kern w:val="2"/>
          <w:sz w:val="28"/>
          <w:szCs w:val="28"/>
          <w:highlight w:val="none"/>
          <w:lang w:eastAsia="zh-CN"/>
        </w:rPr>
        <w:t>《营业执照》复印件；</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4</w:t>
      </w:r>
      <w:r>
        <w:rPr>
          <w:rFonts w:hint="eastAsia" w:ascii="宋体" w:hAnsi="宋体" w:eastAsia="宋体" w:cs="宋体"/>
          <w:snapToGrid/>
          <w:color w:val="auto"/>
          <w:kern w:val="2"/>
          <w:sz w:val="28"/>
          <w:szCs w:val="28"/>
          <w:highlight w:val="none"/>
          <w:lang w:val="en" w:eastAsia="zh-CN"/>
        </w:rPr>
        <w:t>.</w:t>
      </w:r>
      <w:r>
        <w:rPr>
          <w:rFonts w:hint="eastAsia" w:ascii="宋体" w:hAnsi="宋体" w:eastAsia="宋体" w:cs="宋体"/>
          <w:snapToGrid/>
          <w:color w:val="auto"/>
          <w:kern w:val="2"/>
          <w:sz w:val="28"/>
          <w:szCs w:val="28"/>
          <w:highlight w:val="none"/>
          <w:lang w:eastAsia="zh-CN"/>
        </w:rPr>
        <w:t>《机动车行驶证》复印件；</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5</w:t>
      </w:r>
      <w:r>
        <w:rPr>
          <w:rFonts w:hint="eastAsia" w:ascii="宋体" w:hAnsi="宋体" w:eastAsia="宋体" w:cs="宋体"/>
          <w:snapToGrid/>
          <w:color w:val="auto"/>
          <w:kern w:val="2"/>
          <w:sz w:val="28"/>
          <w:szCs w:val="28"/>
          <w:highlight w:val="none"/>
          <w:lang w:val="en" w:eastAsia="zh-CN"/>
        </w:rPr>
        <w:t>.</w:t>
      </w:r>
      <w:r>
        <w:rPr>
          <w:rFonts w:hint="eastAsia" w:ascii="宋体" w:hAnsi="宋体" w:eastAsia="宋体" w:cs="宋体"/>
          <w:snapToGrid/>
          <w:color w:val="auto"/>
          <w:kern w:val="2"/>
          <w:sz w:val="28"/>
          <w:szCs w:val="28"/>
          <w:highlight w:val="none"/>
          <w:lang w:eastAsia="zh-CN"/>
        </w:rPr>
        <w:t>《机动车登记证书》复印件；</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6</w:t>
      </w:r>
      <w:r>
        <w:rPr>
          <w:rFonts w:hint="eastAsia" w:ascii="宋体" w:hAnsi="宋体" w:eastAsia="宋体" w:cs="宋体"/>
          <w:snapToGrid/>
          <w:color w:val="auto"/>
          <w:kern w:val="2"/>
          <w:sz w:val="28"/>
          <w:szCs w:val="28"/>
          <w:highlight w:val="none"/>
          <w:lang w:val="en" w:eastAsia="zh-CN"/>
        </w:rPr>
        <w:t>.</w:t>
      </w:r>
      <w:r>
        <w:rPr>
          <w:rFonts w:hint="eastAsia" w:ascii="宋体" w:hAnsi="宋体" w:eastAsia="宋体" w:cs="宋体"/>
          <w:snapToGrid/>
          <w:color w:val="auto"/>
          <w:kern w:val="2"/>
          <w:sz w:val="28"/>
          <w:szCs w:val="28"/>
          <w:highlight w:val="none"/>
          <w:lang w:eastAsia="zh-CN"/>
        </w:rPr>
        <w:t>《车辆&lt;道路运输证&gt;注销（转籍）单》原件或复印件；</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7</w:t>
      </w:r>
      <w:r>
        <w:rPr>
          <w:rFonts w:hint="eastAsia" w:ascii="宋体" w:hAnsi="宋体" w:eastAsia="宋体" w:cs="宋体"/>
          <w:snapToGrid/>
          <w:color w:val="auto"/>
          <w:kern w:val="2"/>
          <w:sz w:val="28"/>
          <w:szCs w:val="28"/>
          <w:highlight w:val="none"/>
          <w:lang w:val="en" w:eastAsia="zh-CN"/>
        </w:rPr>
        <w:t>.</w:t>
      </w:r>
      <w:r>
        <w:rPr>
          <w:rFonts w:hint="eastAsia" w:ascii="宋体" w:hAnsi="宋体" w:eastAsia="宋体" w:cs="宋体"/>
          <w:snapToGrid/>
          <w:color w:val="auto"/>
          <w:kern w:val="2"/>
          <w:sz w:val="28"/>
          <w:szCs w:val="28"/>
          <w:highlight w:val="none"/>
          <w:lang w:eastAsia="zh-CN"/>
        </w:rPr>
        <w:t>《机动车安全技术检验报告》原件及复印件；</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8</w:t>
      </w:r>
      <w:r>
        <w:rPr>
          <w:rFonts w:hint="eastAsia" w:ascii="宋体" w:hAnsi="宋体" w:eastAsia="宋体" w:cs="宋体"/>
          <w:snapToGrid/>
          <w:color w:val="auto"/>
          <w:kern w:val="2"/>
          <w:sz w:val="28"/>
          <w:szCs w:val="28"/>
          <w:highlight w:val="none"/>
          <w:lang w:val="en" w:eastAsia="zh-CN"/>
        </w:rPr>
        <w:t>.</w:t>
      </w:r>
      <w:r>
        <w:rPr>
          <w:rFonts w:hint="eastAsia" w:ascii="宋体" w:hAnsi="宋体" w:eastAsia="宋体" w:cs="宋体"/>
          <w:snapToGrid/>
          <w:color w:val="auto"/>
          <w:kern w:val="2"/>
          <w:sz w:val="28"/>
          <w:szCs w:val="28"/>
          <w:highlight w:val="none"/>
          <w:lang w:eastAsia="zh-CN"/>
        </w:rPr>
        <w:t>《道路运输达标车辆核查记录表（载货汽车）》或者《道路运输达标车辆核查记录表（牵引车辆）》或者《道路运输达标车辆核查记录表（挂车）》原件及复印件；</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val="en-US" w:eastAsia="zh-CN"/>
        </w:rPr>
        <w:t>9</w:t>
      </w:r>
      <w:r>
        <w:rPr>
          <w:rFonts w:hint="eastAsia" w:ascii="宋体" w:hAnsi="宋体" w:eastAsia="宋体" w:cs="宋体"/>
          <w:snapToGrid/>
          <w:color w:val="auto"/>
          <w:kern w:val="2"/>
          <w:sz w:val="28"/>
          <w:szCs w:val="28"/>
          <w:highlight w:val="none"/>
          <w:lang w:val="en" w:eastAsia="zh-CN"/>
        </w:rPr>
        <w:t>.</w:t>
      </w:r>
      <w:r>
        <w:rPr>
          <w:rFonts w:hint="eastAsia" w:ascii="宋体" w:hAnsi="宋体" w:eastAsia="宋体" w:cs="宋体"/>
          <w:snapToGrid/>
          <w:color w:val="auto"/>
          <w:kern w:val="2"/>
          <w:sz w:val="28"/>
          <w:szCs w:val="28"/>
          <w:highlight w:val="none"/>
          <w:lang w:eastAsia="zh-CN"/>
        </w:rPr>
        <w:t>主要负责人、专职安全生产管理人员证书复印件；</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1</w:t>
      </w:r>
      <w:r>
        <w:rPr>
          <w:rFonts w:hint="eastAsia" w:ascii="宋体" w:hAnsi="宋体" w:eastAsia="宋体" w:cs="宋体"/>
          <w:snapToGrid/>
          <w:color w:val="auto"/>
          <w:kern w:val="2"/>
          <w:sz w:val="28"/>
          <w:szCs w:val="28"/>
          <w:highlight w:val="none"/>
          <w:lang w:val="en-US" w:eastAsia="zh-CN"/>
        </w:rPr>
        <w:t>0</w:t>
      </w:r>
      <w:r>
        <w:rPr>
          <w:rFonts w:hint="eastAsia" w:ascii="宋体" w:hAnsi="宋体" w:eastAsia="宋体" w:cs="宋体"/>
          <w:snapToGrid/>
          <w:color w:val="auto"/>
          <w:kern w:val="2"/>
          <w:sz w:val="28"/>
          <w:szCs w:val="28"/>
          <w:highlight w:val="none"/>
          <w:lang w:val="en" w:eastAsia="zh-CN"/>
        </w:rPr>
        <w:t>.</w:t>
      </w:r>
      <w:r>
        <w:rPr>
          <w:rFonts w:hint="eastAsia" w:ascii="宋体" w:hAnsi="宋体" w:eastAsia="宋体" w:cs="宋体"/>
          <w:snapToGrid/>
          <w:color w:val="auto"/>
          <w:kern w:val="2"/>
          <w:sz w:val="28"/>
          <w:szCs w:val="28"/>
          <w:highlight w:val="none"/>
          <w:lang w:eastAsia="zh-CN"/>
        </w:rPr>
        <w:t>卫星定位装置安装服务合同原件及复印件；</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1</w:t>
      </w:r>
      <w:r>
        <w:rPr>
          <w:rFonts w:hint="eastAsia" w:ascii="宋体" w:hAnsi="宋体" w:eastAsia="宋体" w:cs="宋体"/>
          <w:snapToGrid/>
          <w:color w:val="auto"/>
          <w:kern w:val="2"/>
          <w:sz w:val="28"/>
          <w:szCs w:val="28"/>
          <w:highlight w:val="none"/>
          <w:lang w:val="en-US" w:eastAsia="zh-CN"/>
        </w:rPr>
        <w:t>1</w:t>
      </w:r>
      <w:r>
        <w:rPr>
          <w:rFonts w:hint="eastAsia" w:ascii="宋体" w:hAnsi="宋体" w:eastAsia="宋体" w:cs="宋体"/>
          <w:snapToGrid/>
          <w:color w:val="auto"/>
          <w:kern w:val="2"/>
          <w:sz w:val="28"/>
          <w:szCs w:val="28"/>
          <w:highlight w:val="none"/>
          <w:lang w:val="en" w:eastAsia="zh-CN"/>
        </w:rPr>
        <w:t>.</w:t>
      </w:r>
      <w:r>
        <w:rPr>
          <w:rFonts w:hint="eastAsia" w:ascii="宋体" w:hAnsi="宋体" w:eastAsia="宋体" w:cs="宋体"/>
          <w:snapToGrid/>
          <w:color w:val="auto"/>
          <w:kern w:val="2"/>
          <w:sz w:val="28"/>
          <w:szCs w:val="28"/>
          <w:highlight w:val="none"/>
          <w:lang w:eastAsia="zh-CN"/>
        </w:rPr>
        <w:t>《道路运输从业人员从业资格证》复印件；</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1</w:t>
      </w:r>
      <w:r>
        <w:rPr>
          <w:rFonts w:hint="eastAsia" w:ascii="宋体" w:hAnsi="宋体" w:eastAsia="宋体" w:cs="宋体"/>
          <w:snapToGrid/>
          <w:color w:val="auto"/>
          <w:kern w:val="2"/>
          <w:sz w:val="28"/>
          <w:szCs w:val="28"/>
          <w:highlight w:val="none"/>
          <w:lang w:val="en-US" w:eastAsia="zh-CN"/>
        </w:rPr>
        <w:t>2</w:t>
      </w:r>
      <w:r>
        <w:rPr>
          <w:rFonts w:hint="eastAsia" w:ascii="宋体" w:hAnsi="宋体" w:eastAsia="宋体" w:cs="宋体"/>
          <w:snapToGrid/>
          <w:color w:val="auto"/>
          <w:kern w:val="2"/>
          <w:sz w:val="28"/>
          <w:szCs w:val="28"/>
          <w:highlight w:val="none"/>
          <w:lang w:val="en" w:eastAsia="zh-CN"/>
        </w:rPr>
        <w:t>.</w:t>
      </w:r>
      <w:r>
        <w:rPr>
          <w:rFonts w:hint="eastAsia" w:ascii="宋体" w:hAnsi="宋体" w:eastAsia="宋体" w:cs="宋体"/>
          <w:snapToGrid/>
          <w:color w:val="auto"/>
          <w:kern w:val="2"/>
          <w:sz w:val="28"/>
          <w:szCs w:val="28"/>
          <w:highlight w:val="none"/>
          <w:lang w:eastAsia="zh-CN"/>
        </w:rPr>
        <w:t>《机动车驾驶证》复印件；</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1</w:t>
      </w:r>
      <w:r>
        <w:rPr>
          <w:rFonts w:hint="eastAsia" w:ascii="宋体" w:hAnsi="宋体" w:eastAsia="宋体" w:cs="宋体"/>
          <w:snapToGrid/>
          <w:color w:val="auto"/>
          <w:kern w:val="2"/>
          <w:sz w:val="28"/>
          <w:szCs w:val="28"/>
          <w:highlight w:val="none"/>
          <w:lang w:val="en-US" w:eastAsia="zh-CN"/>
        </w:rPr>
        <w:t>3</w:t>
      </w:r>
      <w:r>
        <w:rPr>
          <w:rFonts w:hint="eastAsia" w:ascii="宋体" w:hAnsi="宋体" w:eastAsia="宋体" w:cs="宋体"/>
          <w:snapToGrid/>
          <w:color w:val="auto"/>
          <w:kern w:val="2"/>
          <w:sz w:val="28"/>
          <w:szCs w:val="28"/>
          <w:highlight w:val="none"/>
          <w:lang w:val="en" w:eastAsia="zh-CN"/>
        </w:rPr>
        <w:t>.</w:t>
      </w:r>
      <w:r>
        <w:rPr>
          <w:rFonts w:hint="eastAsia" w:ascii="宋体" w:hAnsi="宋体" w:eastAsia="宋体" w:cs="宋体"/>
          <w:snapToGrid/>
          <w:color w:val="auto"/>
          <w:kern w:val="2"/>
          <w:sz w:val="28"/>
          <w:szCs w:val="28"/>
          <w:highlight w:val="none"/>
          <w:lang w:eastAsia="zh-CN"/>
        </w:rPr>
        <w:t>安全生产管理制度原件或复印件。</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8" w:firstLineChars="202"/>
        <w:jc w:val="left"/>
        <w:textAlignment w:val="auto"/>
        <w:rPr>
          <w:rFonts w:hint="eastAsia" w:ascii="宋体" w:hAnsi="宋体" w:eastAsia="宋体" w:cs="宋体"/>
          <w:b/>
          <w:snapToGrid/>
          <w:color w:val="auto"/>
          <w:kern w:val="2"/>
          <w:sz w:val="28"/>
          <w:szCs w:val="28"/>
          <w:highlight w:val="none"/>
          <w:lang w:eastAsia="zh-CN"/>
        </w:rPr>
      </w:pPr>
      <w:r>
        <w:rPr>
          <w:rFonts w:hint="eastAsia" w:ascii="宋体" w:hAnsi="宋体" w:eastAsia="宋体" w:cs="宋体"/>
          <w:b/>
          <w:snapToGrid/>
          <w:color w:val="auto"/>
          <w:kern w:val="2"/>
          <w:sz w:val="28"/>
          <w:szCs w:val="28"/>
          <w:highlight w:val="none"/>
          <w:lang w:eastAsia="zh-CN"/>
        </w:rPr>
        <w:t>申请人通过告知承诺方式办理的，提交第</w:t>
      </w:r>
      <w:r>
        <w:rPr>
          <w:rFonts w:hint="eastAsia" w:ascii="宋体" w:hAnsi="宋体" w:eastAsia="宋体" w:cs="宋体"/>
          <w:b/>
          <w:snapToGrid/>
          <w:color w:val="auto"/>
          <w:kern w:val="2"/>
          <w:sz w:val="28"/>
          <w:szCs w:val="28"/>
          <w:highlight w:val="none"/>
          <w:lang w:val="en-US" w:eastAsia="zh-CN"/>
        </w:rPr>
        <w:t>1—9</w:t>
      </w:r>
      <w:r>
        <w:rPr>
          <w:rFonts w:hint="eastAsia" w:ascii="宋体" w:hAnsi="宋体" w:eastAsia="宋体" w:cs="宋体"/>
          <w:b/>
          <w:snapToGrid/>
          <w:color w:val="auto"/>
          <w:kern w:val="2"/>
          <w:sz w:val="28"/>
          <w:szCs w:val="28"/>
          <w:highlight w:val="none"/>
          <w:lang w:eastAsia="zh-CN"/>
        </w:rPr>
        <w:t>项材料；第</w:t>
      </w:r>
      <w:r>
        <w:rPr>
          <w:rFonts w:hint="eastAsia" w:ascii="宋体" w:hAnsi="宋体" w:eastAsia="宋体" w:cs="宋体"/>
          <w:b/>
          <w:snapToGrid/>
          <w:color w:val="auto"/>
          <w:kern w:val="2"/>
          <w:sz w:val="28"/>
          <w:szCs w:val="28"/>
          <w:highlight w:val="none"/>
          <w:lang w:val="en-US" w:eastAsia="zh-CN"/>
        </w:rPr>
        <w:t>10—13</w:t>
      </w:r>
      <w:r>
        <w:rPr>
          <w:rFonts w:hint="eastAsia" w:ascii="宋体" w:hAnsi="宋体" w:eastAsia="宋体" w:cs="宋体"/>
          <w:b/>
          <w:snapToGrid/>
          <w:color w:val="auto"/>
          <w:kern w:val="2"/>
          <w:sz w:val="28"/>
          <w:szCs w:val="28"/>
          <w:highlight w:val="none"/>
          <w:lang w:eastAsia="zh-CN"/>
        </w:rPr>
        <w:t>项材料可免于提交，在行政管理部门开展批后核查时补充提交。</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黑体" w:hAnsi="黑体" w:eastAsia="黑体" w:cs="黑体"/>
          <w:snapToGrid/>
          <w:color w:val="auto"/>
          <w:kern w:val="2"/>
          <w:sz w:val="28"/>
          <w:szCs w:val="28"/>
          <w:highlight w:val="none"/>
          <w:lang w:eastAsia="zh-CN"/>
        </w:rPr>
      </w:pPr>
      <w:r>
        <w:rPr>
          <w:rFonts w:hint="eastAsia" w:ascii="黑体" w:hAnsi="黑体" w:eastAsia="黑体" w:cs="黑体"/>
          <w:snapToGrid/>
          <w:color w:val="auto"/>
          <w:kern w:val="2"/>
          <w:sz w:val="28"/>
          <w:szCs w:val="28"/>
          <w:highlight w:val="none"/>
          <w:lang w:eastAsia="zh-CN"/>
        </w:rPr>
        <w:t>四、现场核查时间与核查内容</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下列材料，行政管理部门作出行政审批决定后</w:t>
      </w:r>
      <w:r>
        <w:rPr>
          <w:rFonts w:hint="eastAsia" w:ascii="宋体" w:hAnsi="宋体" w:eastAsia="宋体" w:cs="宋体"/>
          <w:b/>
          <w:snapToGrid/>
          <w:color w:val="auto"/>
          <w:kern w:val="2"/>
          <w:sz w:val="28"/>
          <w:szCs w:val="28"/>
          <w:highlight w:val="none"/>
          <w:u w:val="single"/>
          <w:lang w:eastAsia="zh-CN"/>
        </w:rPr>
        <w:t xml:space="preserve"> </w:t>
      </w:r>
      <w:r>
        <w:rPr>
          <w:rFonts w:hint="eastAsia" w:ascii="宋体" w:hAnsi="宋体" w:eastAsia="宋体" w:cs="宋体"/>
          <w:b/>
          <w:snapToGrid/>
          <w:color w:val="auto"/>
          <w:kern w:val="2"/>
          <w:sz w:val="28"/>
          <w:szCs w:val="28"/>
          <w:highlight w:val="none"/>
          <w:u w:val="single"/>
          <w:lang w:val="en-US" w:eastAsia="zh-CN"/>
        </w:rPr>
        <w:t>60</w:t>
      </w:r>
      <w:r>
        <w:rPr>
          <w:rFonts w:hint="eastAsia" w:ascii="宋体" w:hAnsi="宋体" w:eastAsia="宋体" w:cs="宋体"/>
          <w:b/>
          <w:snapToGrid/>
          <w:color w:val="auto"/>
          <w:kern w:val="2"/>
          <w:sz w:val="28"/>
          <w:szCs w:val="28"/>
          <w:highlight w:val="none"/>
          <w:u w:val="single"/>
          <w:lang w:eastAsia="zh-CN"/>
        </w:rPr>
        <w:t xml:space="preserve"> </w:t>
      </w:r>
      <w:r>
        <w:rPr>
          <w:rFonts w:hint="eastAsia" w:ascii="宋体" w:hAnsi="宋体" w:eastAsia="宋体" w:cs="宋体"/>
          <w:snapToGrid/>
          <w:color w:val="auto"/>
          <w:kern w:val="2"/>
          <w:sz w:val="28"/>
          <w:szCs w:val="28"/>
          <w:highlight w:val="none"/>
          <w:lang w:eastAsia="zh-CN"/>
        </w:rPr>
        <w:t>日内对承诺内容进行现场核查：</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1.卫星定位装置安装服务合同原件及复印件；</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val="en" w:eastAsia="zh-CN"/>
        </w:rPr>
        <w:t>2.</w:t>
      </w:r>
      <w:r>
        <w:rPr>
          <w:rFonts w:hint="eastAsia" w:ascii="宋体" w:hAnsi="宋体" w:eastAsia="宋体" w:cs="宋体"/>
          <w:snapToGrid/>
          <w:color w:val="auto"/>
          <w:kern w:val="2"/>
          <w:sz w:val="28"/>
          <w:szCs w:val="28"/>
          <w:highlight w:val="none"/>
          <w:lang w:eastAsia="zh-CN"/>
        </w:rPr>
        <w:t>《道路运输从业人员从业资格证》复印件；</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val="en" w:eastAsia="zh-CN"/>
        </w:rPr>
        <w:t>3.</w:t>
      </w:r>
      <w:r>
        <w:rPr>
          <w:rFonts w:hint="eastAsia" w:ascii="宋体" w:hAnsi="宋体" w:eastAsia="宋体" w:cs="宋体"/>
          <w:snapToGrid/>
          <w:color w:val="auto"/>
          <w:kern w:val="2"/>
          <w:sz w:val="28"/>
          <w:szCs w:val="28"/>
          <w:highlight w:val="none"/>
          <w:lang w:eastAsia="zh-CN"/>
        </w:rPr>
        <w:t>《机动车驾驶证》复印件；</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val="en" w:eastAsia="zh-CN"/>
        </w:rPr>
        <w:t>4.</w:t>
      </w:r>
      <w:r>
        <w:rPr>
          <w:rFonts w:hint="eastAsia" w:ascii="宋体" w:hAnsi="宋体" w:eastAsia="宋体" w:cs="宋体"/>
          <w:snapToGrid/>
          <w:color w:val="auto"/>
          <w:kern w:val="2"/>
          <w:sz w:val="28"/>
          <w:szCs w:val="28"/>
          <w:highlight w:val="none"/>
          <w:lang w:eastAsia="zh-CN"/>
        </w:rPr>
        <w:t>安全生产管理制度原件或复印件。</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黑体" w:hAnsi="黑体" w:eastAsia="黑体" w:cs="黑体"/>
          <w:snapToGrid/>
          <w:color w:val="auto"/>
          <w:kern w:val="2"/>
          <w:sz w:val="28"/>
          <w:szCs w:val="28"/>
          <w:highlight w:val="none"/>
          <w:lang w:eastAsia="zh-CN"/>
        </w:rPr>
      </w:pPr>
      <w:r>
        <w:rPr>
          <w:rFonts w:hint="eastAsia" w:ascii="黑体" w:hAnsi="黑体" w:eastAsia="黑体" w:cs="黑体"/>
          <w:snapToGrid/>
          <w:color w:val="auto"/>
          <w:kern w:val="2"/>
          <w:sz w:val="28"/>
          <w:szCs w:val="28"/>
          <w:highlight w:val="none"/>
          <w:lang w:eastAsia="zh-CN"/>
        </w:rPr>
        <w:t>五、承诺的期限和效力</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申请人愿意作出承诺的，行政审批部门先予受理，做出当场审批决定。</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申请人作出符合上述申请条件的承诺，并提交签章的告知承诺书后，行政审批部门将作出行政审批决定。申请人逾期不作出承诺的，行政审批部门将按照法律、法规和规章的有关规定实施行政审批。申请人作出不实承诺或违反承诺的，行政审批部门将依法作出处理，并由申请人依法承担相应的法律后果。</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黑体" w:hAnsi="黑体" w:eastAsia="黑体" w:cs="黑体"/>
          <w:snapToGrid/>
          <w:color w:val="auto"/>
          <w:kern w:val="2"/>
          <w:sz w:val="28"/>
          <w:szCs w:val="28"/>
          <w:highlight w:val="none"/>
          <w:lang w:eastAsia="zh-CN"/>
        </w:rPr>
      </w:pPr>
      <w:r>
        <w:rPr>
          <w:rFonts w:hint="eastAsia" w:ascii="黑体" w:hAnsi="黑体" w:eastAsia="黑体" w:cs="黑体"/>
          <w:snapToGrid/>
          <w:color w:val="auto"/>
          <w:kern w:val="2"/>
          <w:sz w:val="28"/>
          <w:szCs w:val="28"/>
          <w:highlight w:val="none"/>
          <w:lang w:eastAsia="zh-CN"/>
        </w:rPr>
        <w:t>六、告知承诺书公开</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本告知承诺书：</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sym w:font="Wingdings 2" w:char="00A3"/>
      </w:r>
      <w:r>
        <w:rPr>
          <w:rFonts w:hint="eastAsia" w:ascii="宋体" w:hAnsi="宋体" w:eastAsia="宋体" w:cs="宋体"/>
          <w:snapToGrid/>
          <w:color w:val="auto"/>
          <w:kern w:val="2"/>
          <w:sz w:val="28"/>
          <w:szCs w:val="28"/>
          <w:highlight w:val="none"/>
          <w:lang w:eastAsia="zh-CN"/>
        </w:rPr>
        <w:t>公开。</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sym w:font="Wingdings 2" w:char="00A3"/>
      </w:r>
      <w:r>
        <w:rPr>
          <w:rFonts w:hint="eastAsia" w:ascii="宋体" w:hAnsi="宋体" w:eastAsia="宋体" w:cs="宋体"/>
          <w:snapToGrid/>
          <w:color w:val="auto"/>
          <w:kern w:val="2"/>
          <w:sz w:val="28"/>
          <w:szCs w:val="28"/>
          <w:highlight w:val="none"/>
          <w:lang w:eastAsia="zh-CN"/>
        </w:rPr>
        <w:t>不公开。</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黑体" w:hAnsi="黑体" w:eastAsia="黑体" w:cs="黑体"/>
          <w:snapToGrid/>
          <w:color w:val="auto"/>
          <w:kern w:val="2"/>
          <w:sz w:val="28"/>
          <w:szCs w:val="28"/>
          <w:highlight w:val="none"/>
          <w:lang w:eastAsia="zh-CN"/>
        </w:rPr>
      </w:pPr>
      <w:r>
        <w:rPr>
          <w:rFonts w:hint="eastAsia" w:ascii="黑体" w:hAnsi="黑体" w:eastAsia="黑体" w:cs="黑体"/>
          <w:snapToGrid/>
          <w:color w:val="auto"/>
          <w:kern w:val="2"/>
          <w:sz w:val="28"/>
          <w:szCs w:val="28"/>
          <w:highlight w:val="none"/>
          <w:lang w:eastAsia="zh-CN"/>
        </w:rPr>
        <w:t>七、违诺责任</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（一）申请人未履行承诺，有以下行为之一的，将责令限期整改，并在行政审批部门系统内部予以记录。</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1.被审批人在规定期限内未提交材料或者提交的材料不符合要求；</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2.行政审批机关在审查、事后核查中发现申请人、被审批人作出不实承诺或者违反承诺的。</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（二）被审批人具有下列情形之一的，将依法撤销行政审批决定，并纳入上海市公共信用信息服务平台予以记录。</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1.因被审批人拒不配合告知承诺事后核查，行政审批机关无法核实被审批人承诺内容的；</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2.行政审批机关事后核查要求被审批人限期整改，被审批人逾期拒不整改或者整改后仍不符合条件的。</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（三）申请人违反承诺被记入上海市公共信用信息服务平台之日起</w:t>
      </w:r>
      <w:r>
        <w:rPr>
          <w:rFonts w:hint="eastAsia" w:ascii="宋体" w:hAnsi="宋体" w:eastAsia="宋体" w:cs="宋体"/>
          <w:snapToGrid/>
          <w:color w:val="auto"/>
          <w:kern w:val="2"/>
          <w:sz w:val="28"/>
          <w:szCs w:val="28"/>
          <w:highlight w:val="none"/>
          <w:u w:val="single"/>
          <w:lang w:eastAsia="zh-CN"/>
        </w:rPr>
        <w:t xml:space="preserve"> </w:t>
      </w:r>
      <w:r>
        <w:rPr>
          <w:rFonts w:hint="eastAsia" w:ascii="宋体" w:hAnsi="宋体" w:eastAsia="宋体" w:cs="宋体"/>
          <w:snapToGrid/>
          <w:color w:val="auto"/>
          <w:kern w:val="2"/>
          <w:sz w:val="28"/>
          <w:szCs w:val="28"/>
          <w:highlight w:val="none"/>
          <w:u w:val="single"/>
          <w:lang w:val="en-US" w:eastAsia="zh-CN"/>
        </w:rPr>
        <w:t>3年</w:t>
      </w:r>
      <w:r>
        <w:rPr>
          <w:rFonts w:hint="eastAsia" w:ascii="宋体" w:hAnsi="宋体" w:eastAsia="宋体" w:cs="宋体"/>
          <w:snapToGrid/>
          <w:color w:val="auto"/>
          <w:kern w:val="2"/>
          <w:sz w:val="28"/>
          <w:szCs w:val="28"/>
          <w:highlight w:val="none"/>
          <w:u w:val="single"/>
          <w:lang w:eastAsia="zh-CN"/>
        </w:rPr>
        <w:t xml:space="preserve"> </w:t>
      </w:r>
      <w:r>
        <w:rPr>
          <w:rFonts w:hint="eastAsia" w:ascii="宋体" w:hAnsi="宋体" w:eastAsia="宋体" w:cs="宋体"/>
          <w:snapToGrid/>
          <w:color w:val="auto"/>
          <w:kern w:val="2"/>
          <w:sz w:val="28"/>
          <w:szCs w:val="28"/>
          <w:highlight w:val="none"/>
          <w:lang w:eastAsia="zh-CN"/>
        </w:rPr>
        <w:t>内，或尚未完成修复前，将不得适用告知承诺的行政审批方式。</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黑体" w:hAnsi="黑体" w:eastAsia="黑体" w:cs="黑体"/>
          <w:snapToGrid/>
          <w:color w:val="auto"/>
          <w:kern w:val="2"/>
          <w:sz w:val="28"/>
          <w:szCs w:val="28"/>
          <w:highlight w:val="none"/>
          <w:lang w:eastAsia="zh-CN"/>
        </w:rPr>
      </w:pPr>
      <w:r>
        <w:rPr>
          <w:rFonts w:hint="eastAsia" w:ascii="黑体" w:hAnsi="黑体" w:eastAsia="黑体" w:cs="黑体"/>
          <w:snapToGrid/>
          <w:color w:val="auto"/>
          <w:kern w:val="2"/>
          <w:sz w:val="28"/>
          <w:szCs w:val="28"/>
          <w:highlight w:val="none"/>
          <w:lang w:eastAsia="zh-CN"/>
        </w:rPr>
        <w:t>八、承诺内容</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申请人自愿选择告知承诺方式办理行政审批事项，并作出下列承诺：</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val="en-US" w:eastAsia="zh-CN"/>
        </w:rPr>
        <w:t>1、</w:t>
      </w:r>
      <w:r>
        <w:rPr>
          <w:rFonts w:hint="eastAsia" w:ascii="宋体" w:hAnsi="宋体" w:eastAsia="宋体" w:cs="宋体"/>
          <w:snapToGrid/>
          <w:color w:val="auto"/>
          <w:kern w:val="2"/>
          <w:sz w:val="28"/>
          <w:szCs w:val="28"/>
          <w:highlight w:val="none"/>
          <w:lang w:eastAsia="zh-CN"/>
        </w:rPr>
        <w:t>所填写的基本信息真实、准确；</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val="en-US" w:eastAsia="zh-CN"/>
        </w:rPr>
        <w:t>2、</w:t>
      </w:r>
      <w:r>
        <w:rPr>
          <w:rFonts w:hint="eastAsia" w:ascii="宋体" w:hAnsi="宋体" w:eastAsia="宋体" w:cs="宋体"/>
          <w:snapToGrid/>
          <w:color w:val="auto"/>
          <w:kern w:val="2"/>
          <w:sz w:val="28"/>
          <w:szCs w:val="28"/>
          <w:highlight w:val="none"/>
          <w:lang w:eastAsia="zh-CN"/>
        </w:rPr>
        <w:t>已经知晓行政审批机关告知的全部内容；</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val="en-US" w:eastAsia="zh-CN"/>
        </w:rPr>
        <w:t>3、</w:t>
      </w:r>
      <w:r>
        <w:rPr>
          <w:rFonts w:hint="eastAsia" w:ascii="宋体" w:hAnsi="宋体" w:eastAsia="宋体" w:cs="宋体"/>
          <w:snapToGrid/>
          <w:color w:val="auto"/>
          <w:kern w:val="2"/>
          <w:sz w:val="28"/>
          <w:szCs w:val="28"/>
          <w:highlight w:val="none"/>
          <w:lang w:eastAsia="zh-CN"/>
        </w:rPr>
        <w:t>自身能够满足行政审批机关告知的条件、标准和技术要求；</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val="en-US" w:eastAsia="zh-CN"/>
        </w:rPr>
        <w:t>4、</w:t>
      </w:r>
      <w:r>
        <w:rPr>
          <w:rFonts w:hint="eastAsia" w:ascii="宋体" w:hAnsi="宋体" w:eastAsia="宋体" w:cs="宋体"/>
          <w:snapToGrid/>
          <w:color w:val="auto"/>
          <w:kern w:val="2"/>
          <w:sz w:val="28"/>
          <w:szCs w:val="28"/>
          <w:highlight w:val="none"/>
          <w:lang w:eastAsia="zh-CN"/>
        </w:rPr>
        <w:t>能够在约定期限内，提交行政审批机关告知的相关材料；</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val="en-US" w:eastAsia="zh-CN"/>
        </w:rPr>
        <w:t>5、</w:t>
      </w:r>
      <w:r>
        <w:rPr>
          <w:rFonts w:hint="eastAsia" w:ascii="宋体" w:hAnsi="宋体" w:eastAsia="宋体" w:cs="宋体"/>
          <w:snapToGrid/>
          <w:color w:val="auto"/>
          <w:kern w:val="2"/>
          <w:sz w:val="28"/>
          <w:szCs w:val="28"/>
          <w:highlight w:val="none"/>
          <w:lang w:eastAsia="zh-CN"/>
        </w:rPr>
        <w:t>配合行政审批机关进行事后核查；</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val="en-US" w:eastAsia="zh-CN"/>
        </w:rPr>
        <w:t>6、</w:t>
      </w:r>
      <w:r>
        <w:rPr>
          <w:rFonts w:hint="eastAsia" w:ascii="宋体" w:hAnsi="宋体" w:eastAsia="宋体" w:cs="宋体"/>
          <w:snapToGrid/>
          <w:color w:val="auto"/>
          <w:kern w:val="2"/>
          <w:sz w:val="28"/>
          <w:szCs w:val="28"/>
          <w:highlight w:val="none"/>
          <w:lang w:eastAsia="zh-CN"/>
        </w:rPr>
        <w:t>愿意承担不实承诺、违反承诺的法律责任；</w:t>
      </w:r>
    </w:p>
    <w:p>
      <w:pPr>
        <w:keepNext w:val="0"/>
        <w:keepLines w:val="0"/>
        <w:pageBreakBefore w:val="0"/>
        <w:widowControl w:val="0"/>
        <w:kinsoku/>
        <w:wordWrap/>
        <w:overflowPunct w:val="0"/>
        <w:topLinePunct/>
        <w:autoSpaceDE w:val="0"/>
        <w:autoSpaceDN w:val="0"/>
        <w:bidi w:val="0"/>
        <w:adjustRightInd/>
        <w:snapToGrid/>
        <w:spacing w:after="0" w:line="360" w:lineRule="auto"/>
        <w:ind w:firstLine="565" w:firstLineChars="202"/>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val="en-US" w:eastAsia="zh-CN"/>
        </w:rPr>
        <w:t>7、</w:t>
      </w:r>
      <w:r>
        <w:rPr>
          <w:rFonts w:hint="eastAsia" w:ascii="宋体" w:hAnsi="宋体" w:eastAsia="宋体" w:cs="宋体"/>
          <w:snapToGrid/>
          <w:color w:val="auto"/>
          <w:kern w:val="2"/>
          <w:sz w:val="28"/>
          <w:szCs w:val="28"/>
          <w:highlight w:val="none"/>
          <w:lang w:eastAsia="zh-CN"/>
        </w:rPr>
        <w:t>所作承诺是申请人真实意思的表示。</w:t>
      </w:r>
    </w:p>
    <w:p>
      <w:pPr>
        <w:widowControl w:val="0"/>
        <w:kinsoku/>
        <w:autoSpaceDE/>
        <w:autoSpaceDN/>
        <w:adjustRightInd/>
        <w:snapToGrid/>
        <w:spacing w:after="0" w:line="360" w:lineRule="auto"/>
        <w:ind w:firstLine="560" w:firstLineChars="200"/>
        <w:jc w:val="left"/>
        <w:textAlignment w:val="auto"/>
        <w:rPr>
          <w:rFonts w:hint="eastAsia" w:ascii="宋体" w:hAnsi="宋体" w:eastAsia="宋体" w:cs="宋体"/>
          <w:snapToGrid/>
          <w:color w:val="auto"/>
          <w:kern w:val="2"/>
          <w:sz w:val="28"/>
          <w:szCs w:val="28"/>
          <w:highlight w:val="none"/>
          <w:lang w:eastAsia="zh-CN"/>
        </w:rPr>
      </w:pPr>
    </w:p>
    <w:p>
      <w:pPr>
        <w:widowControl w:val="0"/>
        <w:kinsoku/>
        <w:autoSpaceDE/>
        <w:autoSpaceDN/>
        <w:adjustRightInd/>
        <w:snapToGrid/>
        <w:spacing w:after="0" w:line="360" w:lineRule="auto"/>
        <w:jc w:val="center"/>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申请人（委托代理人）：</w:t>
      </w:r>
    </w:p>
    <w:p>
      <w:pPr>
        <w:widowControl w:val="0"/>
        <w:kinsoku/>
        <w:autoSpaceDE/>
        <w:autoSpaceDN/>
        <w:adjustRightInd/>
        <w:snapToGrid/>
        <w:spacing w:after="0" w:line="360" w:lineRule="auto"/>
        <w:ind w:firstLine="280" w:firstLineChars="100"/>
        <w:jc w:val="center"/>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eastAsia="zh-CN"/>
        </w:rPr>
        <w:t>（签字盖章）</w:t>
      </w:r>
    </w:p>
    <w:p>
      <w:pPr>
        <w:widowControl w:val="0"/>
        <w:kinsoku/>
        <w:autoSpaceDE/>
        <w:autoSpaceDN/>
        <w:adjustRightInd/>
        <w:snapToGrid/>
        <w:spacing w:after="0" w:line="360" w:lineRule="auto"/>
        <w:ind w:firstLine="420" w:firstLineChars="150"/>
        <w:jc w:val="left"/>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lang w:val="en-US" w:eastAsia="zh-CN"/>
        </w:rPr>
        <w:t xml:space="preserve">                                   </w:t>
      </w:r>
      <w:r>
        <w:rPr>
          <w:rFonts w:hint="eastAsia" w:ascii="宋体" w:hAnsi="宋体" w:eastAsia="宋体" w:cs="宋体"/>
          <w:snapToGrid/>
          <w:color w:val="auto"/>
          <w:kern w:val="2"/>
          <w:sz w:val="28"/>
          <w:szCs w:val="28"/>
          <w:highlight w:val="none"/>
          <w:lang w:eastAsia="zh-CN"/>
        </w:rPr>
        <w:t>年</w:t>
      </w:r>
      <w:r>
        <w:rPr>
          <w:rFonts w:hint="eastAsia" w:ascii="宋体" w:hAnsi="宋体" w:eastAsia="宋体" w:cs="宋体"/>
          <w:snapToGrid/>
          <w:color w:val="auto"/>
          <w:kern w:val="2"/>
          <w:sz w:val="28"/>
          <w:szCs w:val="28"/>
          <w:highlight w:val="none"/>
          <w:lang w:val="en-US" w:eastAsia="zh-CN"/>
        </w:rPr>
        <w:t xml:space="preserve">    </w:t>
      </w:r>
      <w:r>
        <w:rPr>
          <w:rFonts w:hint="eastAsia" w:ascii="宋体" w:hAnsi="宋体" w:eastAsia="宋体" w:cs="宋体"/>
          <w:snapToGrid/>
          <w:color w:val="auto"/>
          <w:kern w:val="2"/>
          <w:sz w:val="28"/>
          <w:szCs w:val="28"/>
          <w:highlight w:val="none"/>
          <w:lang w:eastAsia="zh-CN"/>
        </w:rPr>
        <w:t>月</w:t>
      </w:r>
      <w:r>
        <w:rPr>
          <w:rFonts w:hint="eastAsia" w:ascii="宋体" w:hAnsi="宋体" w:eastAsia="宋体" w:cs="宋体"/>
          <w:snapToGrid/>
          <w:color w:val="auto"/>
          <w:kern w:val="2"/>
          <w:sz w:val="28"/>
          <w:szCs w:val="28"/>
          <w:highlight w:val="none"/>
          <w:lang w:val="en-US" w:eastAsia="zh-CN"/>
        </w:rPr>
        <w:t xml:space="preserve">    </w:t>
      </w:r>
      <w:r>
        <w:rPr>
          <w:rFonts w:hint="eastAsia" w:ascii="宋体" w:hAnsi="宋体" w:eastAsia="宋体" w:cs="宋体"/>
          <w:snapToGrid/>
          <w:color w:val="auto"/>
          <w:kern w:val="2"/>
          <w:sz w:val="28"/>
          <w:szCs w:val="28"/>
          <w:highlight w:val="none"/>
          <w:lang w:eastAsia="zh-CN"/>
        </w:rPr>
        <w:t>日</w:t>
      </w:r>
    </w:p>
    <w:p>
      <w:pPr>
        <w:widowControl w:val="0"/>
        <w:kinsoku/>
        <w:autoSpaceDE/>
        <w:autoSpaceDN/>
        <w:adjustRightInd/>
        <w:snapToGrid/>
        <w:spacing w:after="0" w:line="360" w:lineRule="auto"/>
        <w:ind w:firstLine="420" w:firstLineChars="150"/>
        <w:jc w:val="left"/>
        <w:textAlignment w:val="auto"/>
        <w:rPr>
          <w:rFonts w:hint="eastAsia" w:ascii="宋体" w:hAnsi="宋体" w:eastAsia="宋体" w:cs="宋体"/>
          <w:snapToGrid/>
          <w:color w:val="auto"/>
          <w:kern w:val="2"/>
          <w:sz w:val="28"/>
          <w:szCs w:val="28"/>
          <w:highlight w:val="none"/>
          <w:lang w:eastAsia="zh-CN"/>
        </w:rPr>
      </w:pPr>
    </w:p>
    <w:p>
      <w:pPr>
        <w:widowControl w:val="0"/>
        <w:kinsoku/>
        <w:autoSpaceDE/>
        <w:autoSpaceDN/>
        <w:adjustRightInd/>
        <w:snapToGrid/>
        <w:spacing w:after="0" w:line="360" w:lineRule="auto"/>
        <w:jc w:val="left"/>
        <w:textAlignment w:val="auto"/>
        <w:rPr>
          <w:rFonts w:hint="eastAsia" w:ascii="n" w:hAnsi="n" w:eastAsia="楷体" w:cs="Times New Roman"/>
          <w:snapToGrid/>
          <w:color w:val="auto"/>
          <w:kern w:val="2"/>
          <w:sz w:val="28"/>
          <w:szCs w:val="28"/>
          <w:highlight w:val="none"/>
          <w:u w:val="single"/>
          <w:lang w:eastAsia="zh-CN"/>
        </w:rPr>
      </w:pPr>
      <w:r>
        <w:rPr>
          <w:rFonts w:hint="eastAsia" w:ascii="宋体" w:hAnsi="宋体" w:eastAsia="宋体" w:cs="宋体"/>
          <w:snapToGrid/>
          <w:color w:val="auto"/>
          <w:kern w:val="2"/>
          <w:sz w:val="28"/>
          <w:szCs w:val="28"/>
          <w:highlight w:val="none"/>
          <w:lang w:eastAsia="zh-CN"/>
        </w:rPr>
        <w:t>（一式两份）</w:t>
      </w:r>
      <w:bookmarkStart w:id="0" w:name="_GoBack"/>
    </w:p>
    <w:bookmarkEnd w:id="0"/>
    <w:sectPr>
      <w:headerReference r:id="rId6" w:type="default"/>
      <w:footerReference r:id="rId7" w:type="default"/>
      <w:type w:val="continuous"/>
      <w:pgSz w:w="11900" w:h="16821"/>
      <w:pgMar w:top="2098" w:right="1531" w:bottom="1984" w:left="1531" w:header="0" w:footer="1202" w:gutter="0"/>
      <w:pgNumType w:fmt="decimal"/>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roman"/>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华文中宋">
    <w:panose1 w:val="02010600040101010101"/>
    <w:charset w:val="86"/>
    <w:family w:val="auto"/>
    <w:pitch w:val="default"/>
    <w:sig w:usb0="00000287" w:usb1="080F0000" w:usb2="00000000" w:usb3="00000000" w:csb0="0004009F" w:csb1="DFD70000"/>
  </w:font>
  <w:font w:name="SourceHanSansCN-Regular">
    <w:altName w:val="华文中宋"/>
    <w:panose1 w:val="00000000000000000000"/>
    <w:charset w:val="00"/>
    <w:family w:val="auto"/>
    <w:pitch w:val="default"/>
    <w:sig w:usb0="00000000" w:usb1="00000000" w:usb2="00000000" w:usb3="00000000" w:csb0="00040001" w:csb1="00000000"/>
  </w:font>
  <w:font w:name="等线">
    <w:altName w:val="华文中宋"/>
    <w:panose1 w:val="02010600030101010101"/>
    <w:charset w:val="86"/>
    <w:family w:val="auto"/>
    <w:pitch w:val="default"/>
    <w:sig w:usb0="00000000" w:usb1="00000000" w:usb2="00000016" w:usb3="00000000" w:csb0="0004000F" w:csb1="00000000"/>
  </w:font>
  <w:font w:name="n">
    <w:altName w:val="华文中宋"/>
    <w:panose1 w:val="00000000000000000000"/>
    <w:charset w:val="00"/>
    <w:family w:val="roman"/>
    <w:pitch w:val="default"/>
    <w:sig w:usb0="00000000" w:usb1="00000000" w:usb2="00000000" w:usb3="00000000" w:csb0="00040001" w:csb1="00000000"/>
  </w:font>
  <w:font w:name="方正小标宋简体">
    <w:panose1 w:val="02000000000000000000"/>
    <w:charset w:val="86"/>
    <w:family w:val="script"/>
    <w:pitch w:val="default"/>
    <w:sig w:usb0="A00002BF" w:usb1="184F6CFA" w:usb2="00000012" w:usb3="00000000" w:csb0="00040001" w:csb1="00000000"/>
  </w:font>
  <w:font w:name="楷体">
    <w:altName w:val="方正楷体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Arial">
    <w:altName w:val="DejaVu Sans"/>
    <w:panose1 w:val="00000000000000000000"/>
    <w:charset w:val="00"/>
    <w:family w:val="auto"/>
    <w:pitch w:val="default"/>
    <w:sig w:usb0="00000000" w:usb1="00000000" w:usb2="00000000" w:usb3="00000000" w:csb0="00000000" w:csb1="00000000"/>
  </w:font>
  <w:font w:name="Microsoft YaHei">
    <w:altName w:val="黑体"/>
    <w:panose1 w:val="00000000000000000000"/>
    <w:charset w:val="00"/>
    <w:family w:val="auto"/>
    <w:pitch w:val="default"/>
    <w:sig w:usb0="00000000" w:usb1="00000000" w:usb2="00000000" w:usb3="00000000" w:csb0="00000000" w:csb1="00000000"/>
  </w:font>
  <w:font w:name="Tahoma">
    <w:altName w:val="DejaVu Sans"/>
    <w:panose1 w:val="00000000000000000000"/>
    <w:charset w:val="00"/>
    <w:family w:val="auto"/>
    <w:pitch w:val="default"/>
    <w:sig w:usb0="00000000" w:usb1="00000000" w:usb2="00000000" w:usb3="00000000" w:csb0="00000000"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PXvojAdAgAAKQQAAA4AAAAAAAAAAQAgAAAANQEAAGRycy9lMm9Eb2MueG1sUEsF&#10;BgAAAAAGAAYAWQEAAMQFA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4" w:lineRule="auto"/>
      <w:jc w:val="both"/>
      <w:rPr>
        <w:sz w:val="2"/>
      </w:rPr>
    </w:pPr>
    <w:r>
      <w:rPr>
        <w:sz w:val="2"/>
      </w:rPr>
      <mc:AlternateContent>
        <mc:Choice Requires="wps">
          <w:drawing>
            <wp:anchor distT="0" distB="0" distL="114300" distR="114300" simplePos="0" relativeHeight="251660288" behindDoc="0" locked="0" layoutInCell="1" allowOverlap="1">
              <wp:simplePos x="0" y="0"/>
              <wp:positionH relativeFrom="margin">
                <wp:posOffset>2783840</wp:posOffset>
              </wp:positionH>
              <wp:positionV relativeFrom="paragraph">
                <wp:posOffset>-695325</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left:219.2pt;margin-top:-54.75pt;height:144pt;width:144pt;mso-position-horizontal-relative:margin;mso-wrap-style:none;z-index:251660288;mso-width-relative:page;mso-height-relative:page;" filled="f" stroked="f" coordsize="21600,21600" o:gfxdata="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FgAAAGRycy9Q&#10;SwECFAAUAAAACACHTuJA3LKKwNkAAAAMAQAADwAAAAAAAAABACAAAAA4AAAAZHJzL2Rvd25yZXYu&#10;eG1sUEsBAhQAFAAAAAgAh07iQIDxM9IdAgAAKQQAAA4AAAAAAAAAAQAgAAAAPgEAAGRycy9lMm9E&#10;b2MueG1sUEsFBgAAAAAGAAYAWQEAAM0FA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sz w:val="36"/>
        <w:szCs w:val="36"/>
      </w:rPr>
    </w:pPr>
  </w:p>
  <w:p>
    <w:pPr>
      <w:jc w:val="center"/>
    </w:pPr>
    <w:r>
      <w:rPr>
        <w:sz w:val="36"/>
        <w:szCs w:val="3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4F9ED4"/>
    <w:multiLevelType w:val="multilevel"/>
    <w:tmpl w:val="A24F9ED4"/>
    <w:lvl w:ilvl="0" w:tentative="0">
      <w:start w:val="0"/>
      <w:numFmt w:val="ideographDigital"/>
      <w:suff w:val="nothing"/>
      <w:lvlText w:val="%1、"/>
      <w:lvlJc w:val="left"/>
      <w:pPr>
        <w:ind w:left="0" w:firstLine="0"/>
      </w:pPr>
      <w:rPr>
        <w:rFonts w:hint="eastAsia" w:ascii="Times New Roman" w:hAnsi="Times New Roman" w:eastAsia="黑体" w:cs="黑体"/>
        <w:sz w:val="28"/>
        <w:szCs w:val="28"/>
      </w:rPr>
    </w:lvl>
    <w:lvl w:ilvl="1" w:tentative="0">
      <w:start w:val="1"/>
      <w:numFmt w:val="japaneseCounting"/>
      <w:pStyle w:val="19"/>
      <w:suff w:val="nothing"/>
      <w:lvlText w:val="（%2）"/>
      <w:lvlJc w:val="left"/>
      <w:pPr>
        <w:ind w:left="2040" w:firstLine="0"/>
      </w:pPr>
      <w:rPr>
        <w:rFonts w:hint="eastAsia" w:ascii="黑体" w:hAnsi="宋体" w:eastAsia="黑体" w:cs="黑体"/>
      </w:rPr>
    </w:lvl>
    <w:lvl w:ilvl="2" w:tentative="0">
      <w:start w:val="1"/>
      <w:numFmt w:val="lowerLetter"/>
      <w:lvlText w:val="(%3)"/>
      <w:lvlJc w:val="left"/>
      <w:pPr>
        <w:tabs>
          <w:tab w:val="left" w:pos="0"/>
        </w:tabs>
        <w:ind w:left="-288" w:hanging="432"/>
      </w:pPr>
    </w:lvl>
    <w:lvl w:ilvl="3" w:tentative="0">
      <w:start w:val="1"/>
      <w:numFmt w:val="lowerRoman"/>
      <w:lvlText w:val="(%4)"/>
      <w:lvlJc w:val="right"/>
      <w:pPr>
        <w:tabs>
          <w:tab w:val="left" w:pos="-144"/>
        </w:tabs>
        <w:ind w:left="-144" w:hanging="144"/>
      </w:pPr>
    </w:lvl>
    <w:lvl w:ilvl="4" w:tentative="0">
      <w:start w:val="1"/>
      <w:numFmt w:val="decimal"/>
      <w:lvlText w:val="%5)"/>
      <w:lvlJc w:val="left"/>
      <w:pPr>
        <w:tabs>
          <w:tab w:val="left" w:pos="0"/>
        </w:tabs>
        <w:ind w:left="0" w:hanging="432"/>
      </w:pPr>
    </w:lvl>
    <w:lvl w:ilvl="5" w:tentative="0">
      <w:start w:val="1"/>
      <w:numFmt w:val="decimal"/>
      <w:suff w:val="nothing"/>
      <w:lvlText w:val="1"/>
      <w:lvlJc w:val="left"/>
      <w:pPr>
        <w:ind w:left="-1008" w:firstLine="0"/>
      </w:pPr>
      <w:rPr>
        <w:rFonts w:hint="eastAsia" w:ascii="黑体" w:hAnsi="Times New Roman" w:eastAsia="黑体" w:cs="黑体"/>
      </w:rPr>
    </w:lvl>
    <w:lvl w:ilvl="6" w:tentative="0">
      <w:start w:val="1"/>
      <w:numFmt w:val="decimal"/>
      <w:suff w:val="nothing"/>
      <w:lvlText w:val="2"/>
      <w:lvlJc w:val="left"/>
      <w:pPr>
        <w:ind w:left="0" w:firstLine="0"/>
      </w:pPr>
      <w:rPr>
        <w:rFonts w:hint="eastAsia" w:ascii="黑体" w:hAnsi="Times New Roman" w:eastAsia="黑体" w:cs="黑体"/>
      </w:rPr>
    </w:lvl>
    <w:lvl w:ilvl="7" w:tentative="0">
      <w:start w:val="1"/>
      <w:numFmt w:val="decimal"/>
      <w:suff w:val="nothing"/>
      <w:lvlText w:val="3"/>
      <w:lvlJc w:val="left"/>
      <w:pPr>
        <w:ind w:left="0" w:firstLine="0"/>
      </w:pPr>
    </w:lvl>
    <w:lvl w:ilvl="8" w:tentative="0">
      <w:start w:val="1"/>
      <w:numFmt w:val="lowerRoman"/>
      <w:lvlText w:val="%9."/>
      <w:lvlJc w:val="right"/>
      <w:pPr>
        <w:tabs>
          <w:tab w:val="left" w:pos="576"/>
        </w:tabs>
        <w:ind w:left="576" w:hanging="14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true"/>
  <w:embedTrueTypeFonts/>
  <w:saveSubsetFonts/>
  <w:bordersDoNotSurroundHeader w:val="false"/>
  <w:bordersDoNotSurroundFooter w:val="false"/>
  <w:trackRevisions w:val="true"/>
  <w:documentProtection w:enforcement="0"/>
  <w:defaultTabStop w:val="420"/>
  <w:drawingGridHorizontalSpacing w:val="210"/>
  <w:drawingGridVerticalSpacing w:val="99999990"/>
  <w:displayHorizontalDrawingGridEvery w:val="1"/>
  <w:displayVerticalDrawingGridEvery w:val="1"/>
  <w:noPunctuationKerning w:val="true"/>
  <w:characterSpacingControl w:val="doNotCompress"/>
  <w:footnotePr>
    <w:footnote w:id="0"/>
    <w:footnote w:id="1"/>
  </w:footnotePr>
  <w:endnotePr>
    <w:endnote w:id="0"/>
    <w:endnote w:id="1"/>
  </w:endnotePr>
  <w:compat>
    <w:spaceForUL/>
    <w:balanceSingleByteDoubleByteWidth/>
    <w:ulTrailSpace/>
    <w:doNotExpandShiftReturn/>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U5ZmJhMmVkMjg4ZjljNTEzMmFkMzg5MjljMTI0ZjkifQ=="/>
  </w:docVars>
  <w:rsids>
    <w:rsidRoot w:val="005D16EE"/>
    <w:rsid w:val="000162E5"/>
    <w:rsid w:val="000525ED"/>
    <w:rsid w:val="0007588C"/>
    <w:rsid w:val="000D079F"/>
    <w:rsid w:val="000D4621"/>
    <w:rsid w:val="000D70BB"/>
    <w:rsid w:val="000F7FF3"/>
    <w:rsid w:val="00112147"/>
    <w:rsid w:val="001172F1"/>
    <w:rsid w:val="00131DC0"/>
    <w:rsid w:val="00143985"/>
    <w:rsid w:val="00154066"/>
    <w:rsid w:val="00162BB3"/>
    <w:rsid w:val="00165A07"/>
    <w:rsid w:val="00171F24"/>
    <w:rsid w:val="001727BB"/>
    <w:rsid w:val="00175361"/>
    <w:rsid w:val="001D29FF"/>
    <w:rsid w:val="001F4FCA"/>
    <w:rsid w:val="00205426"/>
    <w:rsid w:val="0021369C"/>
    <w:rsid w:val="002151F3"/>
    <w:rsid w:val="00221723"/>
    <w:rsid w:val="002234C3"/>
    <w:rsid w:val="00256C6F"/>
    <w:rsid w:val="00261D11"/>
    <w:rsid w:val="00291EF5"/>
    <w:rsid w:val="00292FA1"/>
    <w:rsid w:val="00297479"/>
    <w:rsid w:val="00297BB1"/>
    <w:rsid w:val="002A30D7"/>
    <w:rsid w:val="002A4BF9"/>
    <w:rsid w:val="002B6889"/>
    <w:rsid w:val="002C0104"/>
    <w:rsid w:val="002C1176"/>
    <w:rsid w:val="002E16E5"/>
    <w:rsid w:val="002F506B"/>
    <w:rsid w:val="002F7630"/>
    <w:rsid w:val="00330EF3"/>
    <w:rsid w:val="003448AF"/>
    <w:rsid w:val="003577A2"/>
    <w:rsid w:val="00362B39"/>
    <w:rsid w:val="003B54C2"/>
    <w:rsid w:val="003F1735"/>
    <w:rsid w:val="003F6AB4"/>
    <w:rsid w:val="004537BE"/>
    <w:rsid w:val="00457AC5"/>
    <w:rsid w:val="00464806"/>
    <w:rsid w:val="0047305C"/>
    <w:rsid w:val="00484410"/>
    <w:rsid w:val="00487963"/>
    <w:rsid w:val="004902CF"/>
    <w:rsid w:val="004916E1"/>
    <w:rsid w:val="004A1062"/>
    <w:rsid w:val="004B2925"/>
    <w:rsid w:val="004C1ADC"/>
    <w:rsid w:val="004D5D17"/>
    <w:rsid w:val="004D6F61"/>
    <w:rsid w:val="004E233D"/>
    <w:rsid w:val="004E23DF"/>
    <w:rsid w:val="004F19AD"/>
    <w:rsid w:val="004F3B78"/>
    <w:rsid w:val="004F5E34"/>
    <w:rsid w:val="004F6529"/>
    <w:rsid w:val="00504046"/>
    <w:rsid w:val="005223F0"/>
    <w:rsid w:val="00531CBB"/>
    <w:rsid w:val="005439C9"/>
    <w:rsid w:val="005753A4"/>
    <w:rsid w:val="00580ACC"/>
    <w:rsid w:val="00587CBE"/>
    <w:rsid w:val="005A6DD6"/>
    <w:rsid w:val="005C0A0C"/>
    <w:rsid w:val="005D16EE"/>
    <w:rsid w:val="005E7DFB"/>
    <w:rsid w:val="006057AE"/>
    <w:rsid w:val="00616894"/>
    <w:rsid w:val="006430B2"/>
    <w:rsid w:val="006476A2"/>
    <w:rsid w:val="00661B32"/>
    <w:rsid w:val="006628B8"/>
    <w:rsid w:val="00665626"/>
    <w:rsid w:val="00685C4F"/>
    <w:rsid w:val="00693702"/>
    <w:rsid w:val="006976D8"/>
    <w:rsid w:val="006C5A2E"/>
    <w:rsid w:val="006D6FC3"/>
    <w:rsid w:val="006F2040"/>
    <w:rsid w:val="00736DAF"/>
    <w:rsid w:val="0078398D"/>
    <w:rsid w:val="00790720"/>
    <w:rsid w:val="007B2164"/>
    <w:rsid w:val="007B30E5"/>
    <w:rsid w:val="007B5772"/>
    <w:rsid w:val="007E05AE"/>
    <w:rsid w:val="0081070C"/>
    <w:rsid w:val="0082601D"/>
    <w:rsid w:val="00836283"/>
    <w:rsid w:val="00853E0F"/>
    <w:rsid w:val="0085509A"/>
    <w:rsid w:val="00871975"/>
    <w:rsid w:val="00895297"/>
    <w:rsid w:val="008B0BF8"/>
    <w:rsid w:val="008C0D6F"/>
    <w:rsid w:val="008D7253"/>
    <w:rsid w:val="008E5275"/>
    <w:rsid w:val="008F0696"/>
    <w:rsid w:val="00925C68"/>
    <w:rsid w:val="00942677"/>
    <w:rsid w:val="00944B9A"/>
    <w:rsid w:val="00955A3E"/>
    <w:rsid w:val="0096239B"/>
    <w:rsid w:val="00971BB8"/>
    <w:rsid w:val="0097214D"/>
    <w:rsid w:val="009866FE"/>
    <w:rsid w:val="00997078"/>
    <w:rsid w:val="009A3F35"/>
    <w:rsid w:val="009A4502"/>
    <w:rsid w:val="009B4362"/>
    <w:rsid w:val="009B4808"/>
    <w:rsid w:val="009B4A2F"/>
    <w:rsid w:val="009C5A54"/>
    <w:rsid w:val="00A1718E"/>
    <w:rsid w:val="00A21E8F"/>
    <w:rsid w:val="00A47D2B"/>
    <w:rsid w:val="00A6125E"/>
    <w:rsid w:val="00A63323"/>
    <w:rsid w:val="00A64626"/>
    <w:rsid w:val="00A6789E"/>
    <w:rsid w:val="00A7035C"/>
    <w:rsid w:val="00A74512"/>
    <w:rsid w:val="00A81CE7"/>
    <w:rsid w:val="00AA3261"/>
    <w:rsid w:val="00AA40C3"/>
    <w:rsid w:val="00AC608A"/>
    <w:rsid w:val="00AC6620"/>
    <w:rsid w:val="00AF3E42"/>
    <w:rsid w:val="00AF5AB1"/>
    <w:rsid w:val="00B162DF"/>
    <w:rsid w:val="00B16684"/>
    <w:rsid w:val="00B24E7D"/>
    <w:rsid w:val="00B30E51"/>
    <w:rsid w:val="00B44600"/>
    <w:rsid w:val="00B54DC6"/>
    <w:rsid w:val="00B73EB7"/>
    <w:rsid w:val="00B77EFC"/>
    <w:rsid w:val="00BA1CC8"/>
    <w:rsid w:val="00BC18BF"/>
    <w:rsid w:val="00BD1302"/>
    <w:rsid w:val="00BD73B6"/>
    <w:rsid w:val="00BE44D9"/>
    <w:rsid w:val="00BF18AF"/>
    <w:rsid w:val="00C02A7D"/>
    <w:rsid w:val="00C50276"/>
    <w:rsid w:val="00C55690"/>
    <w:rsid w:val="00C63C79"/>
    <w:rsid w:val="00C66FD4"/>
    <w:rsid w:val="00C72EFE"/>
    <w:rsid w:val="00CA1261"/>
    <w:rsid w:val="00CE3BD5"/>
    <w:rsid w:val="00D17869"/>
    <w:rsid w:val="00D20B5E"/>
    <w:rsid w:val="00D300AC"/>
    <w:rsid w:val="00D52EA0"/>
    <w:rsid w:val="00D7119A"/>
    <w:rsid w:val="00D76077"/>
    <w:rsid w:val="00DC7295"/>
    <w:rsid w:val="00DE558C"/>
    <w:rsid w:val="00E0139C"/>
    <w:rsid w:val="00E02467"/>
    <w:rsid w:val="00E441AF"/>
    <w:rsid w:val="00E46248"/>
    <w:rsid w:val="00E471BF"/>
    <w:rsid w:val="00E60672"/>
    <w:rsid w:val="00E7522F"/>
    <w:rsid w:val="00E933C3"/>
    <w:rsid w:val="00EC2598"/>
    <w:rsid w:val="00ED04D4"/>
    <w:rsid w:val="00EF5AD9"/>
    <w:rsid w:val="00F15C1C"/>
    <w:rsid w:val="00F23C20"/>
    <w:rsid w:val="00F34E0A"/>
    <w:rsid w:val="00F57B23"/>
    <w:rsid w:val="00F6666C"/>
    <w:rsid w:val="00F801AB"/>
    <w:rsid w:val="00F84536"/>
    <w:rsid w:val="00FA1B8C"/>
    <w:rsid w:val="00FB021C"/>
    <w:rsid w:val="00FC63EE"/>
    <w:rsid w:val="00FD1ED6"/>
    <w:rsid w:val="00FD5E13"/>
    <w:rsid w:val="00FE70FD"/>
    <w:rsid w:val="00FF780E"/>
    <w:rsid w:val="011F06CE"/>
    <w:rsid w:val="01283367"/>
    <w:rsid w:val="03525517"/>
    <w:rsid w:val="066E30C6"/>
    <w:rsid w:val="07164EAB"/>
    <w:rsid w:val="098D5856"/>
    <w:rsid w:val="0A505F31"/>
    <w:rsid w:val="0A5B7E05"/>
    <w:rsid w:val="0A713731"/>
    <w:rsid w:val="0BC95926"/>
    <w:rsid w:val="0BDE35D8"/>
    <w:rsid w:val="0E403DFA"/>
    <w:rsid w:val="0EAA787F"/>
    <w:rsid w:val="0F682F17"/>
    <w:rsid w:val="10154C70"/>
    <w:rsid w:val="10B0731E"/>
    <w:rsid w:val="128611F1"/>
    <w:rsid w:val="12BC3C29"/>
    <w:rsid w:val="136C48E0"/>
    <w:rsid w:val="13FE5FA0"/>
    <w:rsid w:val="14C53BBA"/>
    <w:rsid w:val="1847195A"/>
    <w:rsid w:val="19E90A8E"/>
    <w:rsid w:val="1A5E5307"/>
    <w:rsid w:val="1B7D974D"/>
    <w:rsid w:val="1BC16D2A"/>
    <w:rsid w:val="1BD7DA11"/>
    <w:rsid w:val="1C3E0B5E"/>
    <w:rsid w:val="1CE7D4BC"/>
    <w:rsid w:val="1D77BD11"/>
    <w:rsid w:val="1EDB01AF"/>
    <w:rsid w:val="1EEF3F2A"/>
    <w:rsid w:val="1F8366D0"/>
    <w:rsid w:val="22E329CA"/>
    <w:rsid w:val="23592DB1"/>
    <w:rsid w:val="277E6B8D"/>
    <w:rsid w:val="27DCCA5B"/>
    <w:rsid w:val="27FF0E62"/>
    <w:rsid w:val="28A8200F"/>
    <w:rsid w:val="2B5D75AF"/>
    <w:rsid w:val="2BFFA2FE"/>
    <w:rsid w:val="2DFC8800"/>
    <w:rsid w:val="2FC7522D"/>
    <w:rsid w:val="301A1F92"/>
    <w:rsid w:val="30DF4595"/>
    <w:rsid w:val="32292413"/>
    <w:rsid w:val="3304256D"/>
    <w:rsid w:val="3560244A"/>
    <w:rsid w:val="367D4037"/>
    <w:rsid w:val="370074BA"/>
    <w:rsid w:val="377731A3"/>
    <w:rsid w:val="377DAB52"/>
    <w:rsid w:val="37A676B5"/>
    <w:rsid w:val="37FF8CCC"/>
    <w:rsid w:val="380E7D7B"/>
    <w:rsid w:val="38DF0323"/>
    <w:rsid w:val="3BE6BF14"/>
    <w:rsid w:val="3BFD046C"/>
    <w:rsid w:val="3C787BE6"/>
    <w:rsid w:val="3CF270A0"/>
    <w:rsid w:val="3D494F99"/>
    <w:rsid w:val="3F7FCAC2"/>
    <w:rsid w:val="3FA3F484"/>
    <w:rsid w:val="3FFC5D6B"/>
    <w:rsid w:val="3FFD3F5F"/>
    <w:rsid w:val="406919B7"/>
    <w:rsid w:val="42B307CB"/>
    <w:rsid w:val="42B55122"/>
    <w:rsid w:val="431D66A9"/>
    <w:rsid w:val="433575D3"/>
    <w:rsid w:val="433B3682"/>
    <w:rsid w:val="43630AAC"/>
    <w:rsid w:val="438C4CBE"/>
    <w:rsid w:val="45991BA8"/>
    <w:rsid w:val="4BD67571"/>
    <w:rsid w:val="4BF65127"/>
    <w:rsid w:val="4DAD3B47"/>
    <w:rsid w:val="4EFF0539"/>
    <w:rsid w:val="4F0B60B4"/>
    <w:rsid w:val="4FF9B1A5"/>
    <w:rsid w:val="4FFD6AB2"/>
    <w:rsid w:val="5044508F"/>
    <w:rsid w:val="56F21E6E"/>
    <w:rsid w:val="579C7CBE"/>
    <w:rsid w:val="57BFC1AA"/>
    <w:rsid w:val="57FF2561"/>
    <w:rsid w:val="5A56726E"/>
    <w:rsid w:val="5B9EDED8"/>
    <w:rsid w:val="5BFFD8EB"/>
    <w:rsid w:val="5DFF9B2A"/>
    <w:rsid w:val="5ECD29DF"/>
    <w:rsid w:val="5ED602A4"/>
    <w:rsid w:val="5FBF8899"/>
    <w:rsid w:val="5FFF04B0"/>
    <w:rsid w:val="5FFFC093"/>
    <w:rsid w:val="61C05DA3"/>
    <w:rsid w:val="622E70A1"/>
    <w:rsid w:val="622F702C"/>
    <w:rsid w:val="629014B7"/>
    <w:rsid w:val="64E10103"/>
    <w:rsid w:val="656C3DE9"/>
    <w:rsid w:val="65E96827"/>
    <w:rsid w:val="66522FDF"/>
    <w:rsid w:val="66A37DAE"/>
    <w:rsid w:val="67F6AC57"/>
    <w:rsid w:val="67F95DE9"/>
    <w:rsid w:val="69931944"/>
    <w:rsid w:val="6A7F1432"/>
    <w:rsid w:val="6A9A31A7"/>
    <w:rsid w:val="6AD7655B"/>
    <w:rsid w:val="6B72567D"/>
    <w:rsid w:val="6BE90DEC"/>
    <w:rsid w:val="6BFFB425"/>
    <w:rsid w:val="6D7B11A6"/>
    <w:rsid w:val="6DF7F922"/>
    <w:rsid w:val="6DF8ED38"/>
    <w:rsid w:val="6E255143"/>
    <w:rsid w:val="6EC9D792"/>
    <w:rsid w:val="6EE33F34"/>
    <w:rsid w:val="6EEF6C2E"/>
    <w:rsid w:val="6F205E23"/>
    <w:rsid w:val="6F4F4E8E"/>
    <w:rsid w:val="6FFF2821"/>
    <w:rsid w:val="7101F2D4"/>
    <w:rsid w:val="72017B3D"/>
    <w:rsid w:val="72F76938"/>
    <w:rsid w:val="756FE2FF"/>
    <w:rsid w:val="75CB1BB7"/>
    <w:rsid w:val="75DD0646"/>
    <w:rsid w:val="762D4ECF"/>
    <w:rsid w:val="76FFC602"/>
    <w:rsid w:val="774E3188"/>
    <w:rsid w:val="779F90BD"/>
    <w:rsid w:val="77D87745"/>
    <w:rsid w:val="77FB312F"/>
    <w:rsid w:val="78B53E8C"/>
    <w:rsid w:val="78E1326F"/>
    <w:rsid w:val="7927654D"/>
    <w:rsid w:val="7B1DCC63"/>
    <w:rsid w:val="7B693CF4"/>
    <w:rsid w:val="7B73FCBD"/>
    <w:rsid w:val="7B7C02B6"/>
    <w:rsid w:val="7BBA164B"/>
    <w:rsid w:val="7BFDA607"/>
    <w:rsid w:val="7BFFE94C"/>
    <w:rsid w:val="7CD158CD"/>
    <w:rsid w:val="7CFBB15A"/>
    <w:rsid w:val="7D2FCB8C"/>
    <w:rsid w:val="7DBF29B2"/>
    <w:rsid w:val="7DD708AC"/>
    <w:rsid w:val="7DFF5B07"/>
    <w:rsid w:val="7E4F3384"/>
    <w:rsid w:val="7E9F0368"/>
    <w:rsid w:val="7EB33729"/>
    <w:rsid w:val="7ED024BA"/>
    <w:rsid w:val="7EEE0609"/>
    <w:rsid w:val="7EFA848E"/>
    <w:rsid w:val="7EFE137F"/>
    <w:rsid w:val="7F531DDA"/>
    <w:rsid w:val="7F5F4083"/>
    <w:rsid w:val="7F856AFB"/>
    <w:rsid w:val="7FACF9A4"/>
    <w:rsid w:val="7FB8CB73"/>
    <w:rsid w:val="7FBDCDAE"/>
    <w:rsid w:val="7FBFD5D1"/>
    <w:rsid w:val="7FDB8620"/>
    <w:rsid w:val="7FEF9120"/>
    <w:rsid w:val="7FF7563A"/>
    <w:rsid w:val="7FFEC055"/>
    <w:rsid w:val="7FFF3FE1"/>
    <w:rsid w:val="7FFFFD52"/>
    <w:rsid w:val="96FD1E31"/>
    <w:rsid w:val="9AFD6314"/>
    <w:rsid w:val="9EB523A2"/>
    <w:rsid w:val="9FBD20DF"/>
    <w:rsid w:val="9FFB94C4"/>
    <w:rsid w:val="AFFDD925"/>
    <w:rsid w:val="B1BDD875"/>
    <w:rsid w:val="B2BBD7BB"/>
    <w:rsid w:val="B5BFB012"/>
    <w:rsid w:val="BBCBCF55"/>
    <w:rsid w:val="BBFE8E54"/>
    <w:rsid w:val="BE5BCE92"/>
    <w:rsid w:val="BEBF07DF"/>
    <w:rsid w:val="BED364E9"/>
    <w:rsid w:val="BFFDE93C"/>
    <w:rsid w:val="BFFF7F3B"/>
    <w:rsid w:val="C5FF92FB"/>
    <w:rsid w:val="C6FD36F8"/>
    <w:rsid w:val="CF73ECD9"/>
    <w:rsid w:val="CFC94ABA"/>
    <w:rsid w:val="D3D233D0"/>
    <w:rsid w:val="D77C85F7"/>
    <w:rsid w:val="D7FF86F7"/>
    <w:rsid w:val="D837EC44"/>
    <w:rsid w:val="D9FF1D25"/>
    <w:rsid w:val="DC7D5293"/>
    <w:rsid w:val="DF5C0A58"/>
    <w:rsid w:val="DF7A47E7"/>
    <w:rsid w:val="DFCF0F4B"/>
    <w:rsid w:val="DFF82089"/>
    <w:rsid w:val="E6FD17AD"/>
    <w:rsid w:val="E75DCBB8"/>
    <w:rsid w:val="E7FF0C72"/>
    <w:rsid w:val="ECDFDF35"/>
    <w:rsid w:val="ED7CD8A2"/>
    <w:rsid w:val="EDF7D107"/>
    <w:rsid w:val="EEF226C0"/>
    <w:rsid w:val="EF1F3E04"/>
    <w:rsid w:val="EFFFD39B"/>
    <w:rsid w:val="F3BF2050"/>
    <w:rsid w:val="F3CE8F32"/>
    <w:rsid w:val="F3D9C20D"/>
    <w:rsid w:val="F4CD8BFB"/>
    <w:rsid w:val="F50FA341"/>
    <w:rsid w:val="F583F815"/>
    <w:rsid w:val="F73F09F6"/>
    <w:rsid w:val="F7BFF2E4"/>
    <w:rsid w:val="F7E4608A"/>
    <w:rsid w:val="FAFF64D5"/>
    <w:rsid w:val="FB65B89C"/>
    <w:rsid w:val="FB9BCC53"/>
    <w:rsid w:val="FBAFC0F1"/>
    <w:rsid w:val="FBDB8AB9"/>
    <w:rsid w:val="FBDEA077"/>
    <w:rsid w:val="FCBC5DC3"/>
    <w:rsid w:val="FD7C29C5"/>
    <w:rsid w:val="FD9E6320"/>
    <w:rsid w:val="FDAEBA7D"/>
    <w:rsid w:val="FDDFB374"/>
    <w:rsid w:val="FDFDDBE7"/>
    <w:rsid w:val="FE733A98"/>
    <w:rsid w:val="FE73EB31"/>
    <w:rsid w:val="FE7DDCA9"/>
    <w:rsid w:val="FEBF46FD"/>
    <w:rsid w:val="FEC13463"/>
    <w:rsid w:val="FEEE2EC6"/>
    <w:rsid w:val="FEF7F162"/>
    <w:rsid w:val="FEFFD622"/>
    <w:rsid w:val="FF757A66"/>
    <w:rsid w:val="FFAF5E78"/>
    <w:rsid w:val="FFBB7AAB"/>
    <w:rsid w:val="FFBBD6F2"/>
    <w:rsid w:val="FFBF1EFE"/>
    <w:rsid w:val="FFD4D4DE"/>
    <w:rsid w:val="FFD5F543"/>
    <w:rsid w:val="FFDA66C8"/>
    <w:rsid w:val="FFE7C156"/>
    <w:rsid w:val="FFEEF762"/>
    <w:rsid w:val="FFEFD7A5"/>
    <w:rsid w:val="FFF5309E"/>
    <w:rsid w:val="FFF6931A"/>
    <w:rsid w:val="FFFB4D83"/>
    <w:rsid w:val="FFFF4A68"/>
    <w:rsid w:val="FFFF563E"/>
    <w:rsid w:val="FFFF73CB"/>
    <w:rsid w:val="FFFFC21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after="160" w:line="278" w:lineRule="auto"/>
      <w:textAlignment w:val="baseline"/>
    </w:pPr>
    <w:rPr>
      <w:rFonts w:ascii="Arial" w:hAnsi="Arial" w:eastAsia="Arial" w:cs="Arial"/>
      <w:snapToGrid w:val="0"/>
      <w:color w:val="000000"/>
      <w:sz w:val="21"/>
      <w:szCs w:val="21"/>
      <w:lang w:val="en-US" w:eastAsia="en-US" w:bidi="ar-SA"/>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30"/>
    <w:qFormat/>
    <w:uiPriority w:val="0"/>
  </w:style>
  <w:style w:type="paragraph" w:styleId="3">
    <w:name w:val="Body Text"/>
    <w:basedOn w:val="1"/>
    <w:next w:val="1"/>
    <w:semiHidden/>
    <w:qFormat/>
    <w:uiPriority w:val="0"/>
  </w:style>
  <w:style w:type="paragraph" w:styleId="4">
    <w:name w:val="Body Text Indent"/>
    <w:basedOn w:val="1"/>
    <w:next w:val="1"/>
    <w:qFormat/>
    <w:uiPriority w:val="0"/>
    <w:pPr>
      <w:ind w:firstLine="200" w:firstLineChars="200"/>
    </w:pPr>
    <w:rPr>
      <w:rFonts w:ascii="仿宋_GB2312" w:eastAsia="仿宋_GB2312" w:cs="Times New Roman"/>
      <w:color w:val="000000"/>
      <w:sz w:val="28"/>
      <w:szCs w:val="20"/>
      <w:lang w:bidi="ar-SA"/>
    </w:rPr>
  </w:style>
  <w:style w:type="paragraph" w:styleId="5">
    <w:name w:val="toc 3"/>
    <w:basedOn w:val="1"/>
    <w:next w:val="1"/>
    <w:qFormat/>
    <w:uiPriority w:val="0"/>
    <w:pPr>
      <w:ind w:left="840" w:leftChars="400"/>
    </w:pPr>
  </w:style>
  <w:style w:type="paragraph" w:styleId="6">
    <w:name w:val="Balloon Text"/>
    <w:basedOn w:val="1"/>
    <w:link w:val="25"/>
    <w:qFormat/>
    <w:uiPriority w:val="0"/>
    <w:rPr>
      <w:sz w:val="18"/>
      <w:szCs w:val="18"/>
    </w:rPr>
  </w:style>
  <w:style w:type="paragraph" w:styleId="7">
    <w:name w:val="footer"/>
    <w:basedOn w:val="1"/>
    <w:link w:val="22"/>
    <w:qFormat/>
    <w:uiPriority w:val="99"/>
    <w:pPr>
      <w:tabs>
        <w:tab w:val="center" w:pos="4153"/>
        <w:tab w:val="right" w:pos="8306"/>
      </w:tabs>
    </w:pPr>
    <w:rPr>
      <w:sz w:val="18"/>
    </w:rPr>
  </w:style>
  <w:style w:type="paragraph" w:styleId="8">
    <w:name w:val="header"/>
    <w:basedOn w:val="1"/>
    <w:link w:val="20"/>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9">
    <w:name w:val="Normal (Web)"/>
    <w:basedOn w:val="1"/>
    <w:qFormat/>
    <w:uiPriority w:val="0"/>
    <w:pPr>
      <w:spacing w:beforeAutospacing="1" w:afterAutospacing="1"/>
    </w:pPr>
    <w:rPr>
      <w:rFonts w:hint="eastAsia" w:ascii="宋体" w:hAnsi="宋体" w:eastAsia="宋体" w:cs="Times New Roman"/>
      <w:sz w:val="24"/>
      <w:szCs w:val="24"/>
      <w:lang w:eastAsia="zh-CN"/>
    </w:rPr>
  </w:style>
  <w:style w:type="paragraph" w:styleId="10">
    <w:name w:val="annotation subject"/>
    <w:basedOn w:val="2"/>
    <w:next w:val="2"/>
    <w:link w:val="31"/>
    <w:qFormat/>
    <w:uiPriority w:val="0"/>
    <w:rPr>
      <w:b/>
      <w:bCs/>
    </w:rPr>
  </w:style>
  <w:style w:type="paragraph" w:styleId="11">
    <w:name w:val="Body Text First Indent 2"/>
    <w:basedOn w:val="4"/>
    <w:next w:val="3"/>
    <w:unhideWhenUsed/>
    <w:qFormat/>
    <w:uiPriority w:val="99"/>
    <w:pPr>
      <w:ind w:firstLine="420" w:firstLineChars="200"/>
    </w:pPr>
  </w:style>
  <w:style w:type="character" w:styleId="14">
    <w:name w:val="Strong"/>
    <w:basedOn w:val="13"/>
    <w:qFormat/>
    <w:uiPriority w:val="22"/>
    <w:rPr>
      <w:b/>
      <w:bCs/>
    </w:rPr>
  </w:style>
  <w:style w:type="character" w:styleId="15">
    <w:name w:val="Hyperlink"/>
    <w:basedOn w:val="13"/>
    <w:qFormat/>
    <w:uiPriority w:val="0"/>
    <w:rPr>
      <w:color w:val="0000FF"/>
      <w:u w:val="single"/>
    </w:rPr>
  </w:style>
  <w:style w:type="character" w:styleId="16">
    <w:name w:val="annotation reference"/>
    <w:basedOn w:val="13"/>
    <w:qFormat/>
    <w:uiPriority w:val="0"/>
    <w:rPr>
      <w:sz w:val="21"/>
      <w:szCs w:val="21"/>
    </w:rPr>
  </w:style>
  <w:style w:type="table" w:customStyle="1" w:styleId="17">
    <w:name w:val="Table Normal"/>
    <w:semiHidden/>
    <w:unhideWhenUsed/>
    <w:qFormat/>
    <w:uiPriority w:val="0"/>
    <w:tblPr>
      <w:tblCellMar>
        <w:top w:w="0" w:type="dxa"/>
        <w:left w:w="0" w:type="dxa"/>
        <w:bottom w:w="0" w:type="dxa"/>
        <w:right w:w="0" w:type="dxa"/>
      </w:tblCellMar>
    </w:tblPr>
  </w:style>
  <w:style w:type="paragraph" w:customStyle="1" w:styleId="18">
    <w:name w:val="Table Text"/>
    <w:basedOn w:val="1"/>
    <w:semiHidden/>
    <w:qFormat/>
    <w:uiPriority w:val="0"/>
    <w:rPr>
      <w:rFonts w:ascii="宋体" w:hAnsi="宋体" w:eastAsia="宋体" w:cs="宋体"/>
    </w:rPr>
  </w:style>
  <w:style w:type="paragraph" w:customStyle="1" w:styleId="19">
    <w:name w:val="第二层"/>
    <w:basedOn w:val="1"/>
    <w:qFormat/>
    <w:uiPriority w:val="0"/>
    <w:pPr>
      <w:widowControl w:val="0"/>
      <w:numPr>
        <w:ilvl w:val="1"/>
        <w:numId w:val="1"/>
      </w:numPr>
      <w:jc w:val="both"/>
    </w:pPr>
    <w:rPr>
      <w:rFonts w:hint="eastAsia" w:ascii="宋体" w:hAnsi="宋体" w:eastAsia="黑体" w:cs="Times New Roman"/>
      <w:kern w:val="2"/>
      <w:sz w:val="28"/>
      <w:szCs w:val="28"/>
      <w:lang w:eastAsia="zh-CN"/>
    </w:rPr>
  </w:style>
  <w:style w:type="character" w:customStyle="1" w:styleId="20">
    <w:name w:val="页眉 字符"/>
    <w:basedOn w:val="13"/>
    <w:link w:val="8"/>
    <w:qFormat/>
    <w:uiPriority w:val="0"/>
    <w:rPr>
      <w:sz w:val="18"/>
      <w:szCs w:val="18"/>
    </w:rPr>
  </w:style>
  <w:style w:type="paragraph" w:customStyle="1" w:styleId="21">
    <w:name w:val="段"/>
    <w:basedOn w:val="1"/>
    <w:link w:val="23"/>
    <w:qFormat/>
    <w:uiPriority w:val="0"/>
    <w:pPr>
      <w:tabs>
        <w:tab w:val="center" w:pos="4201"/>
        <w:tab w:val="right" w:leader="dot" w:pos="9298"/>
      </w:tabs>
      <w:ind w:firstLine="420" w:firstLineChars="200"/>
      <w:jc w:val="both"/>
    </w:pPr>
    <w:rPr>
      <w:rFonts w:hint="eastAsia" w:ascii="宋体" w:hAnsi="Times New Roman" w:eastAsia="宋体" w:cs="Times New Roman"/>
      <w:lang w:eastAsia="zh-CN"/>
    </w:rPr>
  </w:style>
  <w:style w:type="character" w:customStyle="1" w:styleId="22">
    <w:name w:val="页脚 字符"/>
    <w:basedOn w:val="13"/>
    <w:link w:val="7"/>
    <w:qFormat/>
    <w:uiPriority w:val="99"/>
    <w:rPr>
      <w:sz w:val="18"/>
      <w:szCs w:val="18"/>
    </w:rPr>
  </w:style>
  <w:style w:type="character" w:customStyle="1" w:styleId="23">
    <w:name w:val="段 Char Char"/>
    <w:basedOn w:val="13"/>
    <w:link w:val="21"/>
    <w:qFormat/>
    <w:uiPriority w:val="0"/>
    <w:rPr>
      <w:rFonts w:hint="eastAsia" w:ascii="宋体" w:hAnsi="宋体" w:eastAsia="宋体" w:cs="宋体"/>
      <w:sz w:val="21"/>
      <w:szCs w:val="21"/>
    </w:rPr>
  </w:style>
  <w:style w:type="paragraph" w:customStyle="1" w:styleId="24">
    <w:name w:val="要求"/>
    <w:basedOn w:val="21"/>
    <w:qFormat/>
    <w:uiPriority w:val="0"/>
    <w:pPr>
      <w:ind w:left="200" w:leftChars="200" w:firstLine="200"/>
    </w:pPr>
  </w:style>
  <w:style w:type="character" w:customStyle="1" w:styleId="25">
    <w:name w:val="批注框文本 字符"/>
    <w:basedOn w:val="13"/>
    <w:link w:val="6"/>
    <w:qFormat/>
    <w:uiPriority w:val="0"/>
    <w:rPr>
      <w:rFonts w:ascii="Arial" w:hAnsi="Arial" w:eastAsia="Arial" w:cs="Arial"/>
      <w:snapToGrid w:val="0"/>
      <w:color w:val="000000"/>
      <w:sz w:val="18"/>
      <w:szCs w:val="18"/>
      <w:lang w:eastAsia="en-US"/>
    </w:rPr>
  </w:style>
  <w:style w:type="paragraph" w:customStyle="1" w:styleId="26">
    <w:name w:val="修订1"/>
    <w:hidden/>
    <w:unhideWhenUsed/>
    <w:qFormat/>
    <w:uiPriority w:val="99"/>
    <w:pPr>
      <w:spacing w:after="160" w:line="278" w:lineRule="auto"/>
    </w:pPr>
    <w:rPr>
      <w:rFonts w:ascii="Arial" w:hAnsi="Arial" w:eastAsia="Arial" w:cs="Arial"/>
      <w:snapToGrid w:val="0"/>
      <w:color w:val="000000"/>
      <w:sz w:val="21"/>
      <w:szCs w:val="21"/>
      <w:lang w:val="en-US" w:eastAsia="en-US" w:bidi="ar-SA"/>
    </w:rPr>
  </w:style>
  <w:style w:type="paragraph" w:customStyle="1" w:styleId="27">
    <w:name w:val="修订2"/>
    <w:hidden/>
    <w:unhideWhenUsed/>
    <w:qFormat/>
    <w:uiPriority w:val="99"/>
    <w:pPr>
      <w:spacing w:after="160" w:line="278" w:lineRule="auto"/>
    </w:pPr>
    <w:rPr>
      <w:rFonts w:ascii="Arial" w:hAnsi="Arial" w:eastAsia="Arial" w:cs="Arial"/>
      <w:snapToGrid w:val="0"/>
      <w:color w:val="000000"/>
      <w:sz w:val="21"/>
      <w:szCs w:val="21"/>
      <w:lang w:val="en-US" w:eastAsia="en-US" w:bidi="ar-SA"/>
    </w:rPr>
  </w:style>
  <w:style w:type="paragraph" w:styleId="28">
    <w:name w:val="List Paragraph"/>
    <w:basedOn w:val="1"/>
    <w:unhideWhenUsed/>
    <w:qFormat/>
    <w:uiPriority w:val="99"/>
    <w:pPr>
      <w:ind w:firstLine="420" w:firstLineChars="200"/>
    </w:pPr>
  </w:style>
  <w:style w:type="paragraph" w:customStyle="1" w:styleId="29">
    <w:name w:val="修订3"/>
    <w:hidden/>
    <w:unhideWhenUsed/>
    <w:qFormat/>
    <w:uiPriority w:val="99"/>
    <w:pPr>
      <w:spacing w:after="0" w:line="240" w:lineRule="auto"/>
    </w:pPr>
    <w:rPr>
      <w:rFonts w:ascii="Arial" w:hAnsi="Arial" w:eastAsia="Arial" w:cs="Arial"/>
      <w:snapToGrid w:val="0"/>
      <w:color w:val="000000"/>
      <w:sz w:val="21"/>
      <w:szCs w:val="21"/>
      <w:lang w:val="en-US" w:eastAsia="en-US" w:bidi="ar-SA"/>
    </w:rPr>
  </w:style>
  <w:style w:type="character" w:customStyle="1" w:styleId="30">
    <w:name w:val="批注文字 字符"/>
    <w:basedOn w:val="13"/>
    <w:link w:val="2"/>
    <w:qFormat/>
    <w:uiPriority w:val="0"/>
    <w:rPr>
      <w:rFonts w:ascii="Arial" w:hAnsi="Arial" w:eastAsia="Arial" w:cs="Arial"/>
      <w:snapToGrid w:val="0"/>
      <w:color w:val="000000"/>
      <w:sz w:val="21"/>
      <w:szCs w:val="21"/>
      <w:lang w:eastAsia="en-US"/>
    </w:rPr>
  </w:style>
  <w:style w:type="character" w:customStyle="1" w:styleId="31">
    <w:name w:val="批注主题 字符"/>
    <w:basedOn w:val="30"/>
    <w:link w:val="10"/>
    <w:qFormat/>
    <w:uiPriority w:val="0"/>
    <w:rPr>
      <w:rFonts w:ascii="Arial" w:hAnsi="Arial" w:eastAsia="Arial" w:cs="Arial"/>
      <w:b/>
      <w:bCs/>
      <w:snapToGrid w:val="0"/>
      <w:color w:val="000000"/>
      <w:sz w:val="21"/>
      <w:szCs w:val="21"/>
      <w:lang w:eastAsia="en-US"/>
    </w:rPr>
  </w:style>
  <w:style w:type="character" w:customStyle="1" w:styleId="32">
    <w:name w:val="未处理的提及1"/>
    <w:basedOn w:val="13"/>
    <w:semiHidden/>
    <w:unhideWhenUsed/>
    <w:qFormat/>
    <w:uiPriority w:val="99"/>
    <w:rPr>
      <w:color w:val="605E5C"/>
      <w:shd w:val="clear" w:color="auto" w:fill="E1DFDD"/>
    </w:rPr>
  </w:style>
  <w:style w:type="paragraph" w:customStyle="1" w:styleId="33">
    <w:name w:val="Default"/>
    <w:qFormat/>
    <w:uiPriority w:val="0"/>
    <w:pPr>
      <w:widowControl w:val="0"/>
      <w:autoSpaceDE w:val="0"/>
      <w:autoSpaceDN w:val="0"/>
      <w:adjustRightInd w:val="0"/>
      <w:spacing w:after="160" w:line="278" w:lineRule="auto"/>
    </w:pPr>
    <w:rPr>
      <w:rFonts w:ascii="宋体" w:hAnsi="Times New Roman" w:eastAsia="宋体" w:cs="宋体"/>
      <w:color w:val="000000"/>
      <w:sz w:val="24"/>
      <w:szCs w:val="24"/>
      <w:lang w:val="en-US" w:eastAsia="zh-CN" w:bidi="ar-SA"/>
    </w:rPr>
  </w:style>
  <w:style w:type="paragraph" w:customStyle="1" w:styleId="34">
    <w:name w:val="修订4"/>
    <w:hidden/>
    <w:unhideWhenUsed/>
    <w:qFormat/>
    <w:uiPriority w:val="99"/>
    <w:pPr>
      <w:spacing w:after="0" w:line="240" w:lineRule="auto"/>
    </w:pPr>
    <w:rPr>
      <w:rFonts w:ascii="Arial" w:hAnsi="Arial" w:eastAsia="Arial" w:cs="Arial"/>
      <w:snapToGrid w:val="0"/>
      <w:color w:val="000000"/>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51</Pages>
  <Words>21088</Words>
  <Characters>22277</Characters>
  <Lines>1751</Lines>
  <Paragraphs>1404</Paragraphs>
  <TotalTime>16</TotalTime>
  <ScaleCrop>false</ScaleCrop>
  <LinksUpToDate>false</LinksUpToDate>
  <CharactersWithSpaces>24374</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2025-12-30T14:53:00Z</dcterms:created>
  <dc:creator>Kingsoft-PDF</dc:creator>
  <cp:lastModifiedBy>uos</cp:lastModifiedBy>
  <cp:lastPrinted>2024-08-23T15:40:00Z</cp:lastPrinted>
  <dcterms:modified xsi:type="dcterms:W3CDTF">2026-06-24T15:35:26Z</dcterms:modified>
  <dc:subject>pdfbuilder</dc:subject>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2024-01-08T14:12:18Z</vt:filetime>
  </property>
  <property fmtid="{D5CDD505-2E9C-101B-9397-08002B2CF9AE}" pid="4" name="UsrData">
    <vt:lpwstr>659b921e83b9c4001f520566wl</vt:lpwstr>
  </property>
  <property fmtid="{D5CDD505-2E9C-101B-9397-08002B2CF9AE}" pid="5" name="KSOProductBuildVer">
    <vt:lpwstr>2052-11.8.2.9958</vt:lpwstr>
  </property>
  <property fmtid="{D5CDD505-2E9C-101B-9397-08002B2CF9AE}" pid="6" name="ICV">
    <vt:lpwstr>171FDDFFC4B34A47980E548D439B2553_13</vt:lpwstr>
  </property>
  <property fmtid="{D5CDD505-2E9C-101B-9397-08002B2CF9AE}" pid="7" name="KSOTemplateDocerSaveRecord">
    <vt:lpwstr>eyJoZGlkIjoiNDBjYjkyY2ExOWE2NzliN2JjYjdkOTA3OWJkMGU1N2EiLCJ1c2VySWQiOiIzMTM4OTY1NTYifQ==</vt:lpwstr>
  </property>
</Properties>
</file>