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hint="eastAsia" w:ascii="Times New Roman" w:hAnsi="Times New Roman" w:eastAsia="方正小标宋简体" w:cs="Times New Roman"/>
          <w:color w:val="auto"/>
          <w:sz w:val="32"/>
          <w:szCs w:val="32"/>
        </w:rPr>
      </w:pPr>
    </w:p>
    <w:p>
      <w:pPr>
        <w:spacing w:line="400" w:lineRule="exact"/>
        <w:jc w:val="center"/>
        <w:rPr>
          <w:rFonts w:hint="eastAsia" w:ascii="Times New Roman" w:hAnsi="Times New Roman" w:eastAsia="方正小标宋简体" w:cs="Times New Roman"/>
          <w:color w:val="auto"/>
          <w:sz w:val="32"/>
          <w:szCs w:val="32"/>
        </w:rPr>
      </w:pPr>
      <w:r>
        <w:rPr>
          <w:rFonts w:hint="eastAsia" w:ascii="Times New Roman" w:hAnsi="Times New Roman" w:eastAsia="方正小标宋简体" w:cs="Times New Roman"/>
          <w:color w:val="auto"/>
          <w:sz w:val="32"/>
          <w:szCs w:val="32"/>
          <w:lang w:val="en-US" w:eastAsia="zh-CN"/>
        </w:rPr>
        <w:t>上海市文化和旅游局</w:t>
      </w:r>
      <w:r>
        <w:rPr>
          <w:rFonts w:hint="eastAsia" w:ascii="Times New Roman" w:hAnsi="Times New Roman" w:eastAsia="方正小标宋简体" w:cs="Times New Roman"/>
          <w:color w:val="auto"/>
          <w:sz w:val="32"/>
          <w:szCs w:val="32"/>
        </w:rPr>
        <w:t>告知承诺书</w:t>
      </w:r>
    </w:p>
    <w:p>
      <w:pPr>
        <w:spacing w:line="400" w:lineRule="exact"/>
        <w:jc w:val="center"/>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文艺表演团体设立审批（内资）</w:t>
      </w:r>
    </w:p>
    <w:p>
      <w:pPr>
        <w:spacing w:line="400" w:lineRule="exact"/>
        <w:jc w:val="right"/>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rPr>
        <w:t>年〕第</w:t>
      </w:r>
      <w:r>
        <w:rPr>
          <w:rFonts w:hint="eastAsia"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rPr>
        <w:t>号</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申请人：</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（自然人）</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姓    名：</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证件类型：</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证件号：</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联系方式：</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（法人及非法人其他组织、个体工商户）</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单位名称：</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证件类型：</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统一社会信用代码：</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法定代表人：</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地址：</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联系方式：</w:t>
      </w:r>
    </w:p>
    <w:p>
      <w:pPr>
        <w:spacing w:line="400" w:lineRule="exact"/>
        <w:rPr>
          <w:rFonts w:hint="eastAsia" w:ascii="Times New Roman" w:hAnsi="Times New Roman" w:eastAsia="楷体_GB2312" w:cs="Times New Roman"/>
          <w:color w:val="auto"/>
          <w:sz w:val="28"/>
          <w:szCs w:val="28"/>
        </w:rPr>
      </w:pP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委托代理人：</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姓    名：</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 xml:space="preserve">证件类型：               </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证件号：</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联系方式：</w:t>
      </w:r>
    </w:p>
    <w:p>
      <w:pPr>
        <w:spacing w:line="400" w:lineRule="exact"/>
        <w:rPr>
          <w:rFonts w:hint="eastAsia" w:ascii="Times New Roman" w:hAnsi="Times New Roman" w:eastAsia="楷体_GB2312" w:cs="Times New Roman"/>
          <w:color w:val="auto"/>
          <w:sz w:val="28"/>
          <w:szCs w:val="28"/>
        </w:rPr>
      </w:pP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行政审批部门：</w:t>
      </w:r>
    </w:p>
    <w:p>
      <w:pPr>
        <w:spacing w:line="400" w:lineRule="exact"/>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联系人姓名：</w:t>
      </w:r>
    </w:p>
    <w:p>
      <w:pPr>
        <w:spacing w:line="400" w:lineRule="exact"/>
        <w:rPr>
          <w:rFonts w:hint="eastAsia" w:ascii="Times New Roman" w:hAnsi="Times New Roman" w:eastAsia="楷体_GB2312" w:cs="Times New Roman"/>
          <w:color w:val="auto"/>
          <w:sz w:val="28"/>
          <w:szCs w:val="28"/>
          <w:u w:val="single"/>
        </w:rPr>
      </w:pPr>
      <w:r>
        <w:rPr>
          <w:rFonts w:hint="eastAsia" w:ascii="Times New Roman" w:hAnsi="Times New Roman" w:eastAsia="楷体_GB2312" w:cs="Times New Roman"/>
          <w:color w:val="auto"/>
          <w:sz w:val="28"/>
          <w:szCs w:val="28"/>
        </w:rPr>
        <w:t>联系方式：</w:t>
      </w:r>
    </w:p>
    <w:p>
      <w:pPr>
        <w:spacing w:line="400" w:lineRule="exact"/>
        <w:rPr>
          <w:rFonts w:hint="eastAsia" w:ascii="Times New Roman" w:hAnsi="Times New Roman" w:eastAsia="楷体" w:cs="Times New Roman"/>
          <w:color w:val="auto"/>
          <w:sz w:val="28"/>
          <w:szCs w:val="28"/>
          <w:u w:val="single"/>
        </w:rPr>
      </w:pPr>
    </w:p>
    <w:p>
      <w:pPr>
        <w:spacing w:beforeLines="100" w:afterLines="100" w:line="400" w:lineRule="exact"/>
        <w:jc w:val="center"/>
        <w:rPr>
          <w:rFonts w:ascii="Times New Roman" w:hAnsi="Times New Roman" w:eastAsia="黑体" w:cs="Times New Roman"/>
          <w:bCs/>
          <w:color w:val="auto"/>
          <w:sz w:val="30"/>
          <w:szCs w:val="30"/>
        </w:rPr>
      </w:pPr>
    </w:p>
    <w:p>
      <w:pPr>
        <w:spacing w:beforeLines="100" w:afterLines="100" w:line="400" w:lineRule="exact"/>
        <w:jc w:val="center"/>
        <w:rPr>
          <w:rFonts w:ascii="Times New Roman" w:hAnsi="Times New Roman" w:eastAsia="黑体" w:cs="Times New Roman"/>
          <w:bCs/>
          <w:color w:val="auto"/>
          <w:sz w:val="30"/>
          <w:szCs w:val="30"/>
        </w:rPr>
      </w:pPr>
    </w:p>
    <w:p>
      <w:pPr>
        <w:spacing w:beforeLines="100" w:afterLines="100" w:line="400" w:lineRule="exact"/>
        <w:jc w:val="center"/>
        <w:rPr>
          <w:rFonts w:ascii="Times New Roman" w:hAnsi="Times New Roman" w:eastAsia="黑体" w:cs="Times New Roman"/>
          <w:bCs/>
          <w:color w:val="auto"/>
          <w:sz w:val="30"/>
          <w:szCs w:val="30"/>
        </w:rPr>
      </w:pPr>
    </w:p>
    <w:p>
      <w:pPr>
        <w:spacing w:beforeLines="100" w:afterLines="100" w:line="400" w:lineRule="exact"/>
        <w:jc w:val="center"/>
        <w:rPr>
          <w:rFonts w:hint="eastAsia" w:ascii="Times New Roman" w:hAnsi="Times New Roman" w:eastAsia="黑体" w:cs="Times New Roman"/>
          <w:color w:val="auto"/>
          <w:sz w:val="30"/>
          <w:szCs w:val="30"/>
        </w:rPr>
      </w:pPr>
      <w:r>
        <w:rPr>
          <w:rFonts w:ascii="Times New Roman" w:hAnsi="Times New Roman" w:eastAsia="黑体" w:cs="Times New Roman"/>
          <w:bCs/>
          <w:color w:val="auto"/>
          <w:sz w:val="30"/>
          <w:szCs w:val="30"/>
        </w:rPr>
        <w:t>行政审批机关的告知</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按照《上海市行政审批告知承诺管理办法》，本行政审批部门就行政审批事项告知如下：</w:t>
      </w:r>
    </w:p>
    <w:p>
      <w:pPr>
        <w:spacing w:line="400" w:lineRule="exact"/>
        <w:ind w:firstLine="565" w:firstLineChars="202"/>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一、审批依据</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本行政审批事项的依据为：</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1.《中华人民共和国行政许可法》第三十八条</w:t>
      </w:r>
      <w:r>
        <w:rPr>
          <w:rFonts w:hint="eastAsia" w:ascii="Times New Roman" w:hAnsi="Times New Roman" w:eastAsia="宋体" w:cs="Times New Roman"/>
          <w:color w:val="auto"/>
          <w:sz w:val="28"/>
          <w:szCs w:val="28"/>
          <w:lang w:val="en-US" w:eastAsia="zh-CN"/>
        </w:rPr>
        <w:t>：</w:t>
      </w:r>
      <w:r>
        <w:rPr>
          <w:rFonts w:hint="eastAsia" w:ascii="Times New Roman" w:hAnsi="Times New Roman" w:eastAsia="宋体" w:cs="Times New Roman"/>
          <w:color w:val="auto"/>
          <w:sz w:val="28"/>
          <w:szCs w:val="28"/>
        </w:rPr>
        <w:t>申请人的申请符合法定条件、标准的，行政机关应当依法作出准予行政许可的书面决定。</w:t>
      </w:r>
    </w:p>
    <w:p>
      <w:pPr>
        <w:spacing w:line="400" w:lineRule="exact"/>
        <w:ind w:firstLine="560" w:firstLineChars="20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行政机关依法作出不予行政许可的书面决定的，应当说明理由，并告知申请人享有依法申请行政复议或者提起行政诉讼的权利。</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rPr>
        <w:t>2.《营业性演出管理条例》第六条</w:t>
      </w:r>
      <w:r>
        <w:rPr>
          <w:rFonts w:hint="eastAsia" w:ascii="Times New Roman" w:hAnsi="Times New Roman" w:eastAsia="宋体" w:cs="Times New Roman"/>
          <w:color w:val="auto"/>
          <w:sz w:val="28"/>
          <w:szCs w:val="28"/>
          <w:lang w:val="en-US" w:eastAsia="zh-CN"/>
        </w:rPr>
        <w:t>：</w:t>
      </w:r>
      <w:r>
        <w:rPr>
          <w:rFonts w:hint="eastAsia" w:ascii="Times New Roman" w:hAnsi="Times New Roman" w:eastAsia="宋体" w:cs="Times New Roman"/>
          <w:color w:val="auto"/>
          <w:sz w:val="28"/>
          <w:szCs w:val="28"/>
        </w:rPr>
        <w:t>文艺表演团体申请从事营业性演出活动，应当有与 其业务相适应的专职演员和器材设备，并向县级人民政府文化主 管部门提出申请；演出经纪机构申请从事营业性演出经营活动， 应当有3名以上专职演出经纪人员和与其业务相适应的资金，并 向省、自治区、直辖市人民政府文化主管部门提出申请。文化主 管部门应当自受理申请之日起20日内作出决定。批准的，颁发 营业性演出许可证；不批准的，应当书面通知申请人并说明理由</w:t>
      </w:r>
      <w:r>
        <w:rPr>
          <w:rFonts w:hint="eastAsia" w:ascii="Times New Roman" w:hAnsi="Times New Roman" w:eastAsia="宋体" w:cs="Times New Roman"/>
          <w:color w:val="auto"/>
          <w:sz w:val="28"/>
          <w:szCs w:val="28"/>
          <w:lang w:eastAsia="zh-CN"/>
        </w:rPr>
        <w:t>。</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val="en-US"/>
        </w:rPr>
        <w:t>3.</w:t>
      </w:r>
      <w:r>
        <w:rPr>
          <w:rFonts w:hint="eastAsia" w:ascii="Times New Roman" w:hAnsi="Times New Roman" w:eastAsia="宋体" w:cs="Times New Roman"/>
          <w:color w:val="auto"/>
          <w:sz w:val="28"/>
          <w:szCs w:val="28"/>
        </w:rPr>
        <w:t>《营业性演出管理条例实施细则》第七条</w:t>
      </w:r>
      <w:r>
        <w:rPr>
          <w:rFonts w:hint="eastAsia" w:ascii="Times New Roman" w:hAnsi="Times New Roman" w:eastAsia="宋体" w:cs="Times New Roman"/>
          <w:color w:val="auto"/>
          <w:sz w:val="28"/>
          <w:szCs w:val="28"/>
          <w:lang w:eastAsia="zh-CN"/>
        </w:rPr>
        <w:t>：第七条  依法登记的文艺表演团体申请从事营业性演出活动，应当向文化和旅游主管部门提交下列文件：</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（一）申请书；</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（二）营业执照和从事的艺术类型；</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（三）法定代表人或者主要负责人的有效身份证件；</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（四）演员的艺术表演能力证明；</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（五）与业务相适应的演出器材设备书面声明。</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前款第四项所称演员的艺术表演能力证明，可以是下列文件之一：</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（一）中专以上学校文艺表演类专业毕业证书；</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（二）职称证书；</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（三）其他有效证明。</w:t>
      </w:r>
    </w:p>
    <w:p>
      <w:pPr>
        <w:spacing w:line="400" w:lineRule="exact"/>
        <w:ind w:firstLine="565" w:firstLineChars="202"/>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二、法定条件</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本行政审批事项获得批准应当具备下列条件、标准和技术要求：</w:t>
      </w:r>
    </w:p>
    <w:p>
      <w:pPr>
        <w:spacing w:line="400" w:lineRule="exact"/>
        <w:ind w:firstLine="565" w:firstLineChars="202"/>
        <w:rPr>
          <w:rFonts w:hint="eastAsia" w:ascii="Times New Roman" w:hAnsi="Times New Roman" w:eastAsia="宋体" w:cs="Times New Roman"/>
          <w:color w:val="auto"/>
          <w:sz w:val="28"/>
          <w:szCs w:val="28"/>
          <w:lang w:val="en-US"/>
        </w:rPr>
      </w:pPr>
      <w:r>
        <w:rPr>
          <w:rFonts w:hint="eastAsia" w:ascii="Times New Roman" w:hAnsi="Times New Roman" w:eastAsia="宋体" w:cs="Times New Roman"/>
          <w:color w:val="auto"/>
          <w:sz w:val="28"/>
          <w:szCs w:val="28"/>
          <w:lang w:val="en-US"/>
        </w:rPr>
        <w:t>1.当有与其演出业务相适应的专职演员和器材设备，并向</w:t>
      </w:r>
      <w:r>
        <w:rPr>
          <w:rFonts w:hint="default" w:ascii="Times New Roman" w:hAnsi="Times New Roman" w:eastAsia="宋体" w:cs="Times New Roman"/>
          <w:color w:val="auto"/>
          <w:sz w:val="28"/>
          <w:szCs w:val="28"/>
          <w:lang w:val="en-US"/>
        </w:rPr>
        <w:t>区文化和旅游行政部门提出申请</w:t>
      </w:r>
      <w:r>
        <w:rPr>
          <w:rFonts w:hint="eastAsia" w:ascii="Times New Roman" w:hAnsi="Times New Roman" w:eastAsia="宋体" w:cs="Times New Roman"/>
          <w:color w:val="auto"/>
          <w:sz w:val="28"/>
          <w:szCs w:val="28"/>
          <w:lang w:val="en-US"/>
        </w:rPr>
        <w:t>。</w:t>
      </w:r>
    </w:p>
    <w:p>
      <w:pPr>
        <w:spacing w:line="400" w:lineRule="exact"/>
        <w:ind w:firstLine="565" w:firstLineChars="202"/>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三、应当提交的材料</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根据审批依据和法定条件，本行政审批事项获得批准，申请人应当提交下列材料：</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1.文艺表演团体申请登记表;</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2.营业执照</w:t>
      </w:r>
      <w:r>
        <w:rPr>
          <w:rFonts w:hint="default" w:ascii="Times New Roman" w:hAnsi="Times New Roman" w:eastAsia="宋体" w:cs="Times New Roman"/>
          <w:color w:val="auto"/>
          <w:sz w:val="28"/>
          <w:szCs w:val="28"/>
          <w:lang w:val="en-US"/>
        </w:rPr>
        <w:t>(</w:t>
      </w:r>
      <w:r>
        <w:rPr>
          <w:rFonts w:hint="eastAsia" w:ascii="Times New Roman" w:hAnsi="Times New Roman" w:eastAsia="宋体" w:cs="Times New Roman"/>
          <w:color w:val="auto"/>
          <w:sz w:val="28"/>
          <w:szCs w:val="28"/>
          <w:lang w:val="en-US" w:eastAsia="zh-CN"/>
        </w:rPr>
        <w:t>事业单位法人证书、民办非企业单位等级证书）复印件</w:t>
      </w:r>
      <w:r>
        <w:rPr>
          <w:rFonts w:hint="eastAsia" w:ascii="Times New Roman" w:hAnsi="Times New Roman" w:eastAsia="宋体" w:cs="Times New Roman"/>
          <w:color w:val="auto"/>
          <w:sz w:val="28"/>
          <w:szCs w:val="28"/>
        </w:rPr>
        <w:t>；</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3.法定代表人或者主要负责人的身份证明</w:t>
      </w:r>
      <w:r>
        <w:rPr>
          <w:rFonts w:hint="eastAsia" w:ascii="Times New Roman" w:hAnsi="Times New Roman" w:eastAsia="宋体" w:cs="Times New Roman"/>
          <w:color w:val="auto"/>
          <w:sz w:val="28"/>
          <w:szCs w:val="28"/>
          <w:lang w:val="en-US" w:eastAsia="zh-CN"/>
        </w:rPr>
        <w:t>复印件（应与营业执照、事业单位法人证书、民办非企业单位等级证书载明信息一致）</w:t>
      </w:r>
      <w:r>
        <w:rPr>
          <w:rFonts w:hint="eastAsia" w:ascii="Times New Roman" w:hAnsi="Times New Roman" w:eastAsia="宋体" w:cs="Times New Roman"/>
          <w:color w:val="auto"/>
          <w:sz w:val="28"/>
          <w:szCs w:val="28"/>
        </w:rPr>
        <w:t>；</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4.演员的艺术表演能力证明</w:t>
      </w:r>
      <w:r>
        <w:rPr>
          <w:rFonts w:hint="eastAsia" w:ascii="Times New Roman" w:hAnsi="Times New Roman" w:eastAsia="宋体" w:cs="Times New Roman"/>
          <w:color w:val="auto"/>
          <w:sz w:val="28"/>
          <w:szCs w:val="28"/>
          <w:lang w:val="en-US" w:eastAsia="zh-CN"/>
        </w:rPr>
        <w:t>复印件可以是：中专以上学校文艺表演类专业毕业证书、职称证书、其他有效证明（能够体现艺术表演能力的证书、演出视频资料等）</w:t>
      </w:r>
      <w:r>
        <w:rPr>
          <w:rFonts w:hint="eastAsia" w:ascii="Times New Roman" w:hAnsi="Times New Roman" w:eastAsia="宋体" w:cs="Times New Roman"/>
          <w:color w:val="auto"/>
          <w:sz w:val="28"/>
          <w:szCs w:val="28"/>
        </w:rPr>
        <w:t>；</w:t>
      </w:r>
    </w:p>
    <w:p>
      <w:pPr>
        <w:spacing w:line="400" w:lineRule="exact"/>
        <w:ind w:firstLine="565" w:firstLineChars="202"/>
        <w:rPr>
          <w:rFonts w:hint="eastAsia" w:ascii="Times New Roman" w:hAnsi="Times New Roman" w:eastAsia="楷体_GB2312" w:cs="Times New Roman"/>
          <w:color w:val="auto"/>
          <w:sz w:val="24"/>
        </w:rPr>
      </w:pPr>
      <w:r>
        <w:rPr>
          <w:rFonts w:hint="eastAsia" w:ascii="Times New Roman" w:hAnsi="Times New Roman" w:eastAsia="黑体" w:cs="Times New Roman"/>
          <w:color w:val="auto"/>
          <w:sz w:val="28"/>
          <w:szCs w:val="28"/>
          <w:lang w:eastAsia="zh-CN"/>
        </w:rPr>
        <w:t>四</w:t>
      </w:r>
      <w:r>
        <w:rPr>
          <w:rFonts w:hint="eastAsia" w:ascii="Times New Roman" w:hAnsi="Times New Roman" w:eastAsia="黑体" w:cs="Times New Roman"/>
          <w:color w:val="auto"/>
          <w:sz w:val="28"/>
          <w:szCs w:val="28"/>
        </w:rPr>
        <w:t>、核查时间与核查内容</w:t>
      </w:r>
      <w:r>
        <w:rPr>
          <w:rFonts w:hint="eastAsia" w:ascii="Times New Roman" w:hAnsi="Times New Roman" w:eastAsia="楷体_GB2312" w:cs="Times New Roman"/>
          <w:color w:val="auto"/>
          <w:sz w:val="24"/>
        </w:rPr>
        <w:t>（此条文根据批后核查的方式可选择性使用）</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rPr>
        <w:t>行政审批部门作出行政审批决定后</w:t>
      </w:r>
      <w:r>
        <w:rPr>
          <w:rFonts w:hint="eastAsia" w:ascii="Times New Roman" w:hAnsi="Times New Roman" w:eastAsia="宋体" w:cs="Times New Roman"/>
          <w:b/>
          <w:color w:val="auto"/>
          <w:sz w:val="28"/>
          <w:szCs w:val="28"/>
          <w:u w:val="single"/>
        </w:rPr>
        <w:t xml:space="preserve"> </w:t>
      </w:r>
      <w:r>
        <w:rPr>
          <w:rFonts w:hint="eastAsia" w:ascii="Times New Roman" w:hAnsi="Times New Roman" w:eastAsia="宋体" w:cs="Times New Roman"/>
          <w:b/>
          <w:color w:val="auto"/>
          <w:sz w:val="28"/>
          <w:szCs w:val="28"/>
          <w:u w:val="single"/>
          <w:lang w:val="en-US" w:eastAsia="zh-CN"/>
        </w:rPr>
        <w:t>60</w:t>
      </w:r>
      <w:r>
        <w:rPr>
          <w:rFonts w:hint="eastAsia" w:ascii="Times New Roman" w:hAnsi="Times New Roman" w:eastAsia="宋体" w:cs="Times New Roman"/>
          <w:b/>
          <w:color w:val="auto"/>
          <w:sz w:val="28"/>
          <w:szCs w:val="28"/>
          <w:u w:val="single"/>
        </w:rPr>
        <w:t xml:space="preserve"> </w:t>
      </w:r>
      <w:r>
        <w:rPr>
          <w:rFonts w:hint="eastAsia" w:ascii="Times New Roman" w:hAnsi="Times New Roman" w:eastAsia="宋体" w:cs="Times New Roman"/>
          <w:color w:val="auto"/>
          <w:sz w:val="28"/>
          <w:szCs w:val="28"/>
        </w:rPr>
        <w:t>日内对承诺内容进行核查</w:t>
      </w:r>
      <w:r>
        <w:rPr>
          <w:rFonts w:hint="eastAsia" w:ascii="Times New Roman" w:hAnsi="Times New Roman" w:eastAsia="宋体" w:cs="Times New Roman"/>
          <w:color w:val="auto"/>
          <w:sz w:val="28"/>
          <w:szCs w:val="28"/>
          <w:lang w:eastAsia="zh-CN"/>
        </w:rPr>
        <w:t>：</w:t>
      </w:r>
    </w:p>
    <w:p>
      <w:pPr>
        <w:spacing w:line="400" w:lineRule="exact"/>
        <w:ind w:firstLine="565" w:firstLineChars="202"/>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rPr>
        <w:t>演员的艺术表演能力证明</w:t>
      </w:r>
      <w:r>
        <w:rPr>
          <w:rFonts w:hint="eastAsia" w:ascii="Times New Roman" w:hAnsi="Times New Roman" w:eastAsia="宋体" w:cs="Times New Roman"/>
          <w:color w:val="auto"/>
          <w:sz w:val="28"/>
          <w:szCs w:val="28"/>
          <w:lang w:val="en-US" w:eastAsia="zh-CN"/>
        </w:rPr>
        <w:t>是否有效。</w:t>
      </w:r>
    </w:p>
    <w:p>
      <w:pPr>
        <w:spacing w:line="400" w:lineRule="exact"/>
        <w:ind w:firstLine="565" w:firstLineChars="202"/>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五</w:t>
      </w:r>
      <w:r>
        <w:rPr>
          <w:rFonts w:hint="eastAsia" w:ascii="Times New Roman" w:hAnsi="Times New Roman" w:eastAsia="黑体" w:cs="Times New Roman"/>
          <w:color w:val="auto"/>
          <w:sz w:val="28"/>
          <w:szCs w:val="28"/>
        </w:rPr>
        <w:t>、承诺的期限和效力</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申请人愿意作出承诺的，行政审批部门先予受理，</w:t>
      </w:r>
      <w:r>
        <w:rPr>
          <w:rFonts w:hint="eastAsia" w:ascii="Times New Roman" w:hAnsi="Times New Roman" w:eastAsia="宋体" w:cs="Times New Roman"/>
          <w:color w:val="auto"/>
          <w:sz w:val="28"/>
          <w:szCs w:val="28"/>
          <w:lang w:eastAsia="zh-CN"/>
        </w:rPr>
        <w:t>作出</w:t>
      </w:r>
      <w:r>
        <w:rPr>
          <w:rFonts w:hint="eastAsia" w:ascii="Times New Roman" w:hAnsi="Times New Roman" w:eastAsia="宋体" w:cs="Times New Roman"/>
          <w:color w:val="auto"/>
          <w:sz w:val="28"/>
          <w:szCs w:val="28"/>
        </w:rPr>
        <w:t>审批决定。</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申请人作出符合上述申请条件的承诺，并提交签章的告知承诺书后，行政审批部门将作出行政审批决定。申请人逾期不作出承诺的，行政审批部门将按照法律、法规和规章的有关规定实施行政审批。申请人作出不实承诺或违反承诺的，行政审批部门将依法作出处理，并由申请人依法承担相应的法律后果。</w:t>
      </w:r>
    </w:p>
    <w:p>
      <w:pPr>
        <w:spacing w:line="400" w:lineRule="exact"/>
        <w:ind w:firstLine="565" w:firstLineChars="202"/>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六</w:t>
      </w:r>
      <w:r>
        <w:rPr>
          <w:rFonts w:hint="eastAsia" w:ascii="Times New Roman" w:hAnsi="Times New Roman" w:eastAsia="黑体" w:cs="Times New Roman"/>
          <w:color w:val="auto"/>
          <w:sz w:val="28"/>
          <w:szCs w:val="28"/>
        </w:rPr>
        <w:t>、告知承诺书公开</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本告知承诺书：</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MS Gothic"/>
          <w:color w:val="auto"/>
          <w:sz w:val="28"/>
          <w:szCs w:val="28"/>
        </w:rPr>
        <w:t>口</w:t>
      </w:r>
      <w:r>
        <w:rPr>
          <w:rFonts w:hint="eastAsia" w:ascii="Times New Roman" w:hAnsi="Times New Roman" w:eastAsia="宋体" w:cs="Times New Roman"/>
          <w:color w:val="auto"/>
          <w:sz w:val="28"/>
          <w:szCs w:val="28"/>
        </w:rPr>
        <w:t>公开</w:t>
      </w:r>
      <w:r>
        <w:rPr>
          <w:rFonts w:hint="eastAsia" w:ascii="Times New Roman" w:hAnsi="Times New Roman" w:eastAsia="宋体" w:cs="Times New Roman"/>
          <w:color w:val="auto"/>
          <w:szCs w:val="21"/>
        </w:rPr>
        <w:t>。</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MS Gothic"/>
          <w:color w:val="auto"/>
          <w:sz w:val="28"/>
          <w:szCs w:val="28"/>
        </w:rPr>
        <w:t>口</w:t>
      </w:r>
      <w:r>
        <w:rPr>
          <w:rFonts w:hint="eastAsia" w:ascii="Times New Roman" w:hAnsi="Times New Roman" w:eastAsia="宋体" w:cs="Times New Roman"/>
          <w:color w:val="auto"/>
          <w:sz w:val="28"/>
          <w:szCs w:val="28"/>
        </w:rPr>
        <w:t>不公开。</w:t>
      </w:r>
    </w:p>
    <w:p>
      <w:pPr>
        <w:spacing w:line="400" w:lineRule="exact"/>
        <w:ind w:firstLine="565" w:firstLineChars="202"/>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七</w:t>
      </w:r>
      <w:r>
        <w:rPr>
          <w:rFonts w:hint="eastAsia" w:ascii="Times New Roman" w:hAnsi="Times New Roman" w:eastAsia="黑体" w:cs="Times New Roman"/>
          <w:color w:val="auto"/>
          <w:sz w:val="28"/>
          <w:szCs w:val="28"/>
        </w:rPr>
        <w:t>、违诺责任</w:t>
      </w:r>
    </w:p>
    <w:p>
      <w:pPr>
        <w:spacing w:line="400" w:lineRule="exact"/>
        <w:ind w:firstLine="565" w:firstLineChars="202"/>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（一）申请人未履行承诺，有以下行为之一的，将责令限期整改，并在行政审批部门系统内部予以记录。</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1.被审批人在规定期限内未提交材料或者提交的材料不符合要求；</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2.行政审批机关在审查、事后核查中发现申请人、被审批人作出不实承诺或者违反承诺的。</w:t>
      </w:r>
    </w:p>
    <w:p>
      <w:pPr>
        <w:spacing w:line="400" w:lineRule="exact"/>
        <w:ind w:firstLine="565" w:firstLineChars="202"/>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（二）被审批人具有下列情形之一的，将依法撤销行政审批决定，并纳入上海市公共信用信息服务平台予以记录。</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1.因被审批人拒不配合告知承诺事后核查，行政审批机关无法核实被审批人承诺内容的；</w:t>
      </w:r>
    </w:p>
    <w:p>
      <w:pPr>
        <w:spacing w:line="400" w:lineRule="exact"/>
        <w:ind w:firstLine="565" w:firstLineChars="202"/>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rPr>
        <w:t>2.行政审批机关事后核查要求被审批人限期整改，被审批人逾期拒不整改或者整改后仍不符合条件的</w:t>
      </w:r>
      <w:r>
        <w:rPr>
          <w:rFonts w:hint="eastAsia" w:ascii="Times New Roman" w:hAnsi="Times New Roman" w:eastAsia="宋体" w:cs="Times New Roman"/>
          <w:color w:val="auto"/>
          <w:sz w:val="28"/>
          <w:szCs w:val="28"/>
          <w:lang w:eastAsia="zh-CN"/>
        </w:rPr>
        <w:t>。</w:t>
      </w:r>
    </w:p>
    <w:p>
      <w:pPr>
        <w:spacing w:line="400" w:lineRule="exact"/>
        <w:ind w:firstLine="565" w:firstLineChars="202"/>
        <w:rPr>
          <w:rFonts w:hint="eastAsia"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rPr>
        <w:t>（三）申请人违反承诺被记入诚信档案或上海市公共信用信息服务平台之日起</w:t>
      </w:r>
      <w:r>
        <w:rPr>
          <w:rFonts w:hint="eastAsia" w:ascii="Times New Roman" w:hAnsi="Times New Roman" w:eastAsia="楷体_GB2312" w:cs="Times New Roman"/>
          <w:color w:val="auto"/>
          <w:sz w:val="28"/>
          <w:szCs w:val="28"/>
          <w:u w:val="single"/>
          <w:lang w:val="en-US" w:eastAsia="zh-CN"/>
        </w:rPr>
        <w:t>2年</w:t>
      </w:r>
      <w:r>
        <w:rPr>
          <w:rFonts w:hint="eastAsia" w:ascii="Times New Roman" w:hAnsi="Times New Roman" w:eastAsia="楷体_GB2312" w:cs="Times New Roman"/>
          <w:color w:val="auto"/>
          <w:sz w:val="28"/>
          <w:szCs w:val="28"/>
        </w:rPr>
        <w:t>内，且尚未完成修复前，将不得适用告知承诺的行政审批方式。</w:t>
      </w:r>
    </w:p>
    <w:p>
      <w:pPr>
        <w:spacing w:line="400" w:lineRule="exact"/>
        <w:ind w:firstLine="565" w:firstLineChars="202"/>
        <w:jc w:val="left"/>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八</w:t>
      </w:r>
      <w:r>
        <w:rPr>
          <w:rFonts w:hint="eastAsia" w:ascii="Times New Roman" w:hAnsi="Times New Roman" w:eastAsia="黑体" w:cs="Times New Roman"/>
          <w:color w:val="auto"/>
          <w:sz w:val="28"/>
          <w:szCs w:val="28"/>
        </w:rPr>
        <w:t>、承诺内容</w:t>
      </w:r>
      <w:bookmarkStart w:id="0" w:name="_GoBack"/>
      <w:bookmarkEnd w:id="0"/>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申请人自愿选择告知承诺方式办理行政审批事项，并作出下列承诺：</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（一）所填写的基本信息真实、准确；</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（二）已经知晓行政审批机关告知的全部内容；</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（三）自身能够满足行政审批机关告知的条件、标准和技术要求；</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（四）能够在约定期限内，提交行政审批机关告知的相关材料；</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（五）配合行政审批机关进行事后核查；</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（六）愿意承担不实承诺、违反承诺的法律责任；</w:t>
      </w:r>
    </w:p>
    <w:p>
      <w:pPr>
        <w:spacing w:line="400" w:lineRule="exact"/>
        <w:ind w:firstLine="565" w:firstLineChars="202"/>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（七）所作承诺是申请人真实意思的表示。</w:t>
      </w:r>
    </w:p>
    <w:p>
      <w:pPr>
        <w:spacing w:line="400" w:lineRule="exact"/>
        <w:ind w:firstLine="560" w:firstLineChars="200"/>
        <w:rPr>
          <w:rFonts w:hint="eastAsia" w:ascii="Times New Roman" w:hAnsi="Times New Roman" w:eastAsia="宋体" w:cs="Times New Roman"/>
          <w:color w:val="auto"/>
          <w:sz w:val="28"/>
          <w:szCs w:val="28"/>
        </w:rPr>
      </w:pPr>
    </w:p>
    <w:p>
      <w:pPr>
        <w:spacing w:line="400" w:lineRule="exact"/>
        <w:jc w:val="center"/>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申请人（委托代理人）：</w:t>
      </w:r>
    </w:p>
    <w:p>
      <w:pPr>
        <w:spacing w:line="400" w:lineRule="exact"/>
        <w:ind w:firstLine="280" w:firstLineChars="100"/>
        <w:jc w:val="center"/>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rPr>
        <w:t>（签字盖章）</w:t>
      </w:r>
    </w:p>
    <w:p>
      <w:pPr>
        <w:spacing w:line="400" w:lineRule="exact"/>
        <w:ind w:firstLine="420" w:firstLineChars="150"/>
        <w:jc w:val="center"/>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rPr>
        <w:t>年  月  日</w:t>
      </w:r>
    </w:p>
    <w:p>
      <w:pPr>
        <w:spacing w:line="400" w:lineRule="exact"/>
        <w:jc w:val="center"/>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rPr>
        <w:t>（一式两份）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Gothic">
    <w:altName w:val="宋体"/>
    <w:panose1 w:val="020B0609070205080204"/>
    <w:charset w:val="80"/>
    <w:family w:val="modern"/>
    <w:pitch w:val="default"/>
    <w:sig w:usb0="00000000" w:usb1="00000000" w:usb2="08000012" w:usb3="00000000" w:csb0="4002009F" w:csb1="DFD7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A57B8"/>
    <w:rsid w:val="2DFF35AB"/>
    <w:rsid w:val="3F799365"/>
    <w:rsid w:val="3FF9592E"/>
    <w:rsid w:val="6DEBA84F"/>
    <w:rsid w:val="6E58048B"/>
    <w:rsid w:val="71DA2769"/>
    <w:rsid w:val="7BDA57B8"/>
    <w:rsid w:val="7BFD154B"/>
    <w:rsid w:val="7FDE2EB9"/>
    <w:rsid w:val="F35DA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1365</Words>
  <Characters>1378</Characters>
  <Lines>0</Lines>
  <Paragraphs>0</Paragraphs>
  <TotalTime>1</TotalTime>
  <ScaleCrop>false</ScaleCrop>
  <LinksUpToDate>false</LinksUpToDate>
  <CharactersWithSpaces>1446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2025-09-20T02:00:00Z</dcterms:created>
  <dc:creator>lenovo</dc:creator>
  <cp:lastModifiedBy>lenovo</cp:lastModifiedBy>
  <dcterms:modified xsi:type="dcterms:W3CDTF">2025-11-05T11:29:03Z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eyJoZGlkIjoiYjhhYTUyOTZlZjg2MzQ5NDRmMTM2ZWQ1ODcwYjE5OTMiLCJ1c2VySWQiOiIyMjMxNDk1NzgifQ==</vt:lpwstr>
  </property>
  <property fmtid="{D5CDD505-2E9C-101B-9397-08002B2CF9AE}" pid="4" name="ICV">
    <vt:lpwstr>60BE5C0839C54875AA6F007700104A12_13</vt:lpwstr>
  </property>
</Properties>
</file>